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</w:rPr>
      </w:pPr>
      <w:r>
        <w:rPr>
          <w:b/>
          <w:bCs/>
        </w:rPr>
        <w:t xml:space="preserve">Техническое задание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rFonts w:cs="Arial"/>
        </w:rPr>
      </w:pPr>
      <w:r>
        <w:rPr>
          <w:rFonts w:cs="Arial"/>
          <w:b/>
          <w:bCs/>
          <w:sz w:val="24"/>
          <w:szCs w:val="24"/>
        </w:rPr>
        <w:t xml:space="preserve">на </w:t>
      </w:r>
      <w:r>
        <w:rPr>
          <w:b/>
          <w:bCs/>
          <w:sz w:val="24"/>
          <w:szCs w:val="24"/>
        </w:rPr>
        <w:t xml:space="preserve">Ремонт лакокрасочного покрытия кранов для Каширской ГРЭС</w:t>
      </w:r>
      <w:r>
        <w:rPr>
          <w:b/>
          <w:bCs/>
          <w:sz w:val="24"/>
          <w:szCs w:val="24"/>
        </w:rPr>
        <w:t xml:space="preserve"> </w:t>
      </w:r>
      <w:r>
        <w:rPr>
          <w:rFonts w:cs="Arial"/>
        </w:rPr>
      </w:r>
      <w:r>
        <w:rPr>
          <w:rFonts w:cs="Arial"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0"/>
          <w:numId w:val="34"/>
        </w:numPr>
        <w:contextualSpacing/>
        <w:jc w:val="both"/>
        <w:spacing w:line="23" w:lineRule="atLeast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НАИМЕНОВАНИЕ РАБОТ И ПЕРЕЧЕНЬ ОБЪЕКТОВ, НА КОТОРЫХ БУДУТ ВЫПОЛНЯТЬСЯ РАБОТЫ</w:t>
      </w:r>
      <w:r>
        <w:rPr>
          <w:rFonts w:eastAsiaTheme="minorHAnsi"/>
          <w:b/>
          <w:lang w:eastAsia="en-US"/>
        </w:rPr>
      </w:r>
      <w:r>
        <w:rPr>
          <w:rFonts w:eastAsiaTheme="minorHAnsi"/>
          <w:b/>
          <w:lang w:eastAsia="en-US"/>
        </w:rPr>
      </w:r>
    </w:p>
    <w:p>
      <w:r>
        <w:rPr>
          <w:b/>
        </w:rPr>
        <w:t xml:space="preserve">1.1</w:t>
      </w:r>
      <w:r>
        <w:t xml:space="preserve"> Ремонт </w:t>
      </w:r>
      <w:r>
        <w:rPr>
          <w:rFonts w:cs="Arial"/>
        </w:rPr>
        <w:t xml:space="preserve">лакокрасочного покрытия мостовых кранов</w:t>
      </w:r>
      <w:r>
        <w:t xml:space="preserve"> для филиала «Каширская ГРЭС» АО  «</w:t>
      </w:r>
      <w:r>
        <w:t xml:space="preserve">Интер РАО - Электрогенерация»</w:t>
      </w:r>
      <w:r/>
    </w:p>
    <w:p>
      <w:pPr>
        <w:pStyle w:val="960"/>
        <w:ind w:left="0"/>
        <w:jc w:val="both"/>
      </w:pPr>
      <w:r>
        <w:t xml:space="preserve">       -Кран мостовой рег.№43150, зав.№216, г/п 125/20 тонн, инв.№ 0214003415000;</w:t>
      </w:r>
      <w:r/>
    </w:p>
    <w:p>
      <w:pPr>
        <w:jc w:val="both"/>
      </w:pPr>
      <w:r>
        <w:t xml:space="preserve">       -Кран мостовой рег.№22918, зав.№10, г/п 125/20 тонн, инв.№ 0214000963000</w:t>
      </w:r>
      <w:r/>
    </w:p>
    <w:p>
      <w:pPr>
        <w:pStyle w:val="960"/>
        <w:numPr>
          <w:ilvl w:val="1"/>
          <w:numId w:val="35"/>
        </w:numPr>
        <w:ind w:left="0" w:firstLine="0"/>
        <w:spacing w:line="23" w:lineRule="atLeast"/>
        <w:tabs>
          <w:tab w:val="left" w:pos="426" w:leader="none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Объем работ указан в Приложении 3 к техническому заданию (далее </w:t>
      </w:r>
      <w:r>
        <w:rPr>
          <w:rFonts w:eastAsiaTheme="minorHAnsi"/>
          <w:lang w:eastAsia="en-US"/>
        </w:rPr>
        <w:t xml:space="preserve">– ТЗ).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pStyle w:val="960"/>
        <w:numPr>
          <w:ilvl w:val="1"/>
          <w:numId w:val="35"/>
        </w:numPr>
        <w:ind w:left="0" w:firstLine="0"/>
        <w:spacing w:line="23" w:lineRule="atLeast"/>
        <w:tabs>
          <w:tab w:val="left" w:pos="426" w:leader="none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Место размещения объекта: </w:t>
      </w:r>
      <w:r>
        <w:t xml:space="preserve">142900, РФ, Московская область, проспект Советский, дом 2, филиал «Каширская ГРЭС» АО «Интер РАО-Электрогенерация».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pStyle w:val="960"/>
        <w:ind w:left="0"/>
        <w:jc w:val="both"/>
      </w:pPr>
      <w:r>
        <w:t xml:space="preserve">    </w:t>
      </w:r>
      <w:r/>
    </w:p>
    <w:p>
      <w:pPr>
        <w:contextualSpacing/>
        <w:jc w:val="both"/>
        <w:spacing w:after="200" w:line="23" w:lineRule="atLeast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2. ОБЩИЕ ТРЕБОВАНИЯ</w:t>
      </w:r>
      <w:r>
        <w:rPr>
          <w:rFonts w:eastAsiaTheme="minorHAnsi"/>
          <w:b/>
          <w:lang w:eastAsia="en-US"/>
        </w:rPr>
      </w:r>
      <w:r>
        <w:rPr>
          <w:rFonts w:eastAsiaTheme="minorHAnsi"/>
          <w:b/>
          <w:lang w:eastAsia="en-US"/>
        </w:rPr>
      </w:r>
    </w:p>
    <w:p>
      <w:pPr>
        <w:jc w:val="both"/>
        <w:rPr>
          <w:rFonts w:cs="Arial"/>
          <w:b/>
        </w:rPr>
      </w:pPr>
      <w:r>
        <w:rPr>
          <w:b/>
          <w:bCs/>
        </w:rPr>
        <w:t xml:space="preserve">2.1. Основание для </w:t>
      </w:r>
      <w:r>
        <w:rPr>
          <w:rFonts w:cs="Arial"/>
          <w:b/>
        </w:rPr>
        <w:t xml:space="preserve">выполнения работ</w:t>
      </w:r>
      <w:r>
        <w:rPr>
          <w:rFonts w:cs="Arial"/>
          <w:b/>
        </w:rPr>
      </w:r>
      <w:r>
        <w:rPr>
          <w:rFonts w:cs="Arial"/>
          <w:b/>
        </w:rPr>
      </w:r>
    </w:p>
    <w:p>
      <w:pPr>
        <w:ind w:firstLine="708"/>
        <w:jc w:val="both"/>
        <w:shd w:val="clear" w:color="auto" w:fill="ffffff"/>
        <w:rPr>
          <w:highlight w:val="white"/>
        </w:rPr>
      </w:pPr>
      <w:r>
        <w:rPr>
          <w:b/>
          <w:bCs/>
        </w:rPr>
        <w:t xml:space="preserve"> </w:t>
      </w:r>
      <w:r>
        <w:t xml:space="preserve">Работы выполняются на основании Заключений </w:t>
      </w:r>
      <w:bookmarkStart w:id="1" w:name="_Hlk201236469"/>
      <w:r>
        <w:t xml:space="preserve">экспертизы промышленной безопасности </w:t>
      </w:r>
      <w:bookmarkEnd w:id="1"/>
      <w:r>
        <w:t xml:space="preserve">от 25.03.2024   № ЭПБ-0747/ТУ-2024 </w:t>
      </w:r>
      <w:bookmarkStart w:id="2" w:name="_Hlk201236439"/>
      <w:r>
        <w:t xml:space="preserve">(Приложение №1) </w:t>
      </w:r>
      <w:bookmarkEnd w:id="2"/>
      <w:r>
        <w:t xml:space="preserve">и  № ЭПБ-0746/ТУ-2024 (Приложение №2)  по результатам экспертизы промышленной безопасности на техническое устройство  Кран мостовой электрический уч.(рег.) № 22918, зав</w:t>
      </w:r>
      <w:r>
        <w:t xml:space="preserve">. № 10 и Кран мостовой электрический уч.(рег.) № 43150, з</w:t>
      </w:r>
      <w:r>
        <w:rPr>
          <w:highlight w:val="white"/>
        </w:rPr>
        <w:t xml:space="preserve">ав. № 216  применяемые на опасном производственном объекте «Площадка главного корпуса Каширской ГРЭС».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8"/>
        <w:jc w:val="both"/>
        <w:shd w:val="clear" w:color="auto" w:fill="ffffff"/>
        <w:rPr>
          <w:bCs/>
          <w:highlight w:val="white"/>
        </w:rPr>
      </w:pPr>
      <w:r>
        <w:rPr>
          <w:highlight w:val="white"/>
        </w:rPr>
        <w:t xml:space="preserve">Цель  работы: приведение лакокрасочного покрытия подъемных сооружений в соответствие с требовани</w:t>
      </w:r>
      <w:r>
        <w:rPr>
          <w:highlight w:val="white"/>
        </w:rPr>
        <w:t xml:space="preserve">ями </w:t>
      </w:r>
      <w:hyperlink r:id="rId11" w:tooltip="https://bi-file.ru/archive/p067fgb/" w:history="1">
        <w:r>
          <w:rPr>
            <w:rStyle w:val="986"/>
            <w:bCs/>
            <w:color w:val="auto"/>
            <w:highlight w:val="white"/>
            <w:u w:val="none"/>
          </w:rPr>
          <w:t xml:space="preserve">приказа от 26.11.2020 г. № 461 «Об утверждении Федеральных норм и правил в области промышленной безопасности «Правила безопасности опасных производственных объ</w:t>
        </w:r>
        <w:r>
          <w:rPr>
            <w:rStyle w:val="986"/>
            <w:bCs/>
            <w:color w:val="auto"/>
            <w:highlight w:val="white"/>
            <w:u w:val="none"/>
          </w:rPr>
          <w:t xml:space="preserve">ектов, на которых используются подъёмные сооружения». </w:t>
        </w:r>
      </w:hyperlink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both"/>
        <w:rPr>
          <w:b/>
          <w:bCs/>
        </w:rPr>
      </w:pPr>
      <w:r>
        <w:rPr>
          <w:b/>
          <w:bCs/>
        </w:rPr>
        <w:t xml:space="preserve">2.2.  Требования к срокам </w:t>
      </w:r>
      <w:r>
        <w:rPr>
          <w:rFonts w:cs="Arial"/>
          <w:b/>
        </w:rPr>
        <w:t xml:space="preserve">выполнение работ</w:t>
      </w:r>
      <w:r>
        <w:rPr>
          <w:b/>
          <w:bCs/>
        </w:rPr>
        <w:t xml:space="preserve"> 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Cs/>
        </w:rPr>
      </w:pPr>
      <w:r>
        <w:t xml:space="preserve">Срок начала выполнения работ – с 01.07.2026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/>
        </w:rPr>
      </w:pPr>
      <w:r>
        <w:rPr>
          <w:bCs/>
        </w:rPr>
        <w:t xml:space="preserve">Окончание работ  - 31.08.2026</w:t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  <w:t xml:space="preserve">2.3.  Нормативные требования к качеству работ, их результату</w:t>
      </w:r>
      <w:r>
        <w:rPr>
          <w:b/>
        </w:rPr>
      </w:r>
      <w:r>
        <w:rPr>
          <w:b/>
        </w:rPr>
      </w:r>
    </w:p>
    <w:p>
      <w:pPr>
        <w:ind w:left="426"/>
        <w:jc w:val="both"/>
        <w:tabs>
          <w:tab w:val="left" w:pos="709" w:leader="none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Работы должны быть вып</w:t>
      </w:r>
      <w:r>
        <w:rPr>
          <w:rFonts w:eastAsiaTheme="minorHAnsi"/>
          <w:lang w:eastAsia="en-US"/>
        </w:rPr>
        <w:t xml:space="preserve">олнены в соответствии с требованиями следующих документов: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</w:pPr>
      <w:r/>
      <w:r/>
    </w:p>
    <w:p>
      <w:pPr>
        <w:pStyle w:val="960"/>
        <w:numPr>
          <w:ilvl w:val="0"/>
          <w:numId w:val="45"/>
        </w:numPr>
        <w:ind w:right="196"/>
        <w:jc w:val="both"/>
        <w:widowControl w:val="off"/>
        <w:tabs>
          <w:tab w:val="left" w:pos="709" w:leader="none"/>
        </w:tabs>
        <w:rPr>
          <w:color w:val="000000"/>
        </w:rPr>
      </w:pPr>
      <w:r>
        <w:t xml:space="preserve">Федеральный закон «О промышленной безопасности опасных производственных объектов», № 116-Ф3 от 21 июля 1997 г. </w:t>
      </w:r>
      <w:r>
        <w:rPr>
          <w:rFonts w:eastAsia="Times New Roman,Bold"/>
        </w:rPr>
        <w:t xml:space="preserve">(</w:t>
      </w:r>
      <w:r>
        <w:rPr>
          <w:color w:val="2c2d2e"/>
          <w:shd w:val="clear" w:color="auto" w:fill="ffffff"/>
        </w:rPr>
        <w:t xml:space="preserve">ред. от 14.11.2023 г.</w:t>
      </w:r>
      <w:r>
        <w:t xml:space="preserve">);</w:t>
      </w:r>
      <w:r>
        <w:rPr>
          <w:color w:val="000000"/>
        </w:rPr>
      </w:r>
      <w:r>
        <w:rPr>
          <w:color w:val="000000"/>
        </w:rPr>
      </w:r>
    </w:p>
    <w:p>
      <w:pPr>
        <w:pStyle w:val="960"/>
        <w:numPr>
          <w:ilvl w:val="0"/>
          <w:numId w:val="45"/>
        </w:numPr>
        <w:ind w:right="196"/>
        <w:jc w:val="both"/>
        <w:widowControl w:val="off"/>
        <w:tabs>
          <w:tab w:val="left" w:pos="709" w:leader="none"/>
        </w:tabs>
      </w:pPr>
      <w:r>
        <w:t xml:space="preserve">Федеральные нормы и правила в области промышленной б</w:t>
      </w:r>
      <w:r>
        <w:t xml:space="preserve">езопасности «Правила проведения экспертизы промышленной безопасности». Утверждены приказом Федеральной службы по экологическому, технологическому и атомному надзору от 20.10.2020 г. № 420. Зарегистрирован Минюстом РФ 11.12.2020 г., регистрационный № 61391.</w:t>
      </w:r>
      <w:r/>
    </w:p>
    <w:p>
      <w:pPr>
        <w:pStyle w:val="960"/>
        <w:numPr>
          <w:ilvl w:val="0"/>
          <w:numId w:val="45"/>
        </w:numPr>
        <w:ind w:right="196"/>
        <w:jc w:val="both"/>
        <w:widowControl w:val="off"/>
        <w:tabs>
          <w:tab w:val="left" w:pos="709" w:leader="none"/>
        </w:tabs>
      </w:pPr>
      <w:r>
        <w:rPr>
          <w:lang w:eastAsia="zh-CN"/>
        </w:rPr>
        <w:t xml:space="preserve">Технический регламент таможенного союза</w:t>
      </w:r>
      <w:r>
        <w:rPr>
          <w:bCs/>
          <w:lang w:eastAsia="zh-CN"/>
        </w:rPr>
        <w:t xml:space="preserve"> ТР ТС 010/2011</w:t>
      </w:r>
      <w:r>
        <w:rPr>
          <w:lang w:eastAsia="zh-CN"/>
        </w:rPr>
        <w:t xml:space="preserve"> «о безопасности машин и оборудования». Утвержден решением комиссии таможенного союза от 18.10.2011 № 823. (с изменениями внесенными решением совета ЕЭК  16.05. 2016 № 3</w:t>
      </w:r>
      <w:r>
        <w:rPr>
          <w:caps/>
          <w:lang w:eastAsia="zh-CN"/>
        </w:rPr>
        <w:t xml:space="preserve">7)</w:t>
      </w:r>
      <w:r/>
    </w:p>
    <w:p>
      <w:pPr>
        <w:pStyle w:val="960"/>
        <w:numPr>
          <w:ilvl w:val="0"/>
          <w:numId w:val="45"/>
        </w:numPr>
        <w:ind w:right="196"/>
        <w:jc w:val="both"/>
        <w:widowControl w:val="off"/>
        <w:tabs>
          <w:tab w:val="left" w:pos="709" w:leader="none"/>
        </w:tabs>
      </w:pPr>
      <w:r>
        <w:t xml:space="preserve">Федеральные нормы и правила в</w:t>
      </w:r>
      <w:r>
        <w:t xml:space="preserve"> области промышленной безопасности «Правила безопасности опасных производственных объектов, на которых используются подъемные сооружения» утв. приказом Федеральной службы по экологическому, технологическому и атомному надзору от 26 ноября 2020 года № 461.</w:t>
      </w:r>
      <w:r>
        <w:rPr>
          <w:sz w:val="23"/>
          <w:szCs w:val="23"/>
        </w:rPr>
      </w:r>
      <w:r/>
    </w:p>
    <w:p>
      <w:pPr>
        <w:pStyle w:val="960"/>
        <w:numPr>
          <w:ilvl w:val="0"/>
          <w:numId w:val="45"/>
        </w:numPr>
        <w:ind w:right="196"/>
        <w:jc w:val="both"/>
        <w:widowControl w:val="off"/>
        <w:tabs>
          <w:tab w:val="left" w:pos="709" w:leader="none"/>
        </w:tabs>
      </w:pPr>
      <w:r>
        <w:rPr>
          <w:highlight w:val="none"/>
        </w:rPr>
      </w:r>
      <w:r>
        <w:rPr>
          <w:rFonts w:ascii="Tinos" w:hAnsi="Tinos" w:eastAsia="Tinos" w:cs="Tinos"/>
          <w:sz w:val="24"/>
          <w:szCs w:val="24"/>
        </w:rPr>
        <w:t xml:space="preserve">Требования по охране труда, промышленной и пожарной безопасности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(Приложение 5).</w:t>
      </w:r>
      <w:r>
        <w:rPr>
          <w:highlight w:val="none"/>
        </w:rPr>
      </w:r>
      <w:r/>
    </w:p>
    <w:p>
      <w:pPr>
        <w:ind w:right="196"/>
        <w:jc w:val="both"/>
        <w:widowControl w:val="off"/>
        <w:tabs>
          <w:tab w:val="left" w:pos="709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right="196"/>
        <w:jc w:val="both"/>
        <w:widowControl w:val="off"/>
        <w:tabs>
          <w:tab w:val="left" w:pos="709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60"/>
        <w:numPr>
          <w:ilvl w:val="0"/>
          <w:numId w:val="38"/>
        </w:numPr>
        <w:jc w:val="both"/>
        <w:spacing w:line="23" w:lineRule="atLeast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ТРЕБОВАНИЯ К ВЫПОЛНЕНИЮ РАБОТ</w:t>
      </w:r>
      <w:r>
        <w:rPr>
          <w:rFonts w:eastAsiaTheme="minorHAnsi"/>
          <w:b/>
          <w:lang w:eastAsia="en-US"/>
        </w:rPr>
      </w:r>
      <w:r>
        <w:rPr>
          <w:rFonts w:eastAsiaTheme="minorHAnsi"/>
          <w:b/>
          <w:lang w:eastAsia="en-US"/>
        </w:rPr>
      </w:r>
    </w:p>
    <w:p>
      <w:pPr>
        <w:jc w:val="both"/>
        <w:rPr>
          <w:b/>
        </w:rPr>
      </w:pPr>
      <w:r>
        <w:rPr>
          <w:b/>
        </w:rPr>
        <w:t xml:space="preserve">3.1. Объем выполняемых работ</w:t>
      </w:r>
      <w:r>
        <w:rPr>
          <w:b/>
        </w:rPr>
      </w:r>
      <w:r>
        <w:rPr>
          <w:b/>
        </w:rPr>
      </w:r>
    </w:p>
    <w:p>
      <w:pPr>
        <w:ind w:firstLine="426"/>
        <w:jc w:val="both"/>
      </w:pPr>
      <w:r>
        <w:t xml:space="preserve">Объём выполняемых работ отражён в ведомости объёмов работ (Приложение 3).</w:t>
      </w:r>
      <w:r/>
    </w:p>
    <w:p>
      <w:pPr>
        <w:jc w:val="both"/>
        <w:rPr>
          <w:b/>
        </w:rPr>
      </w:pPr>
      <w:r>
        <w:rPr>
          <w:b/>
        </w:rPr>
        <w:t xml:space="preserve">3.2. Требования к последовательности этапов выполнение работ</w:t>
      </w:r>
      <w:r>
        <w:rPr>
          <w:b/>
        </w:rPr>
      </w:r>
      <w:r>
        <w:rPr>
          <w:b/>
        </w:rPr>
      </w:r>
    </w:p>
    <w:p>
      <w:pPr>
        <w:ind w:firstLine="426"/>
        <w:jc w:val="both"/>
        <w:rPr>
          <w:color w:val="000000"/>
          <w:spacing w:val="5"/>
        </w:rPr>
      </w:pPr>
      <w:r>
        <w:rPr>
          <w:color w:val="000000"/>
          <w:spacing w:val="5"/>
        </w:rPr>
        <w:t xml:space="preserve">1 этап. Разработка проекта</w:t>
      </w:r>
      <w:r>
        <w:rPr>
          <w:color w:val="000000"/>
          <w:spacing w:val="5"/>
        </w:rPr>
        <w:t xml:space="preserve"> производства работ (далее - ППР). Перед началом производства работ Подрядчик разрабатывает и согласовывает (утверждает) ППР с Заказчиком. ППР разрабатывается и согласовывается с Заказчиком не позднее, чем за 5 дней до начала выполнения работ. ППР разрабат</w:t>
      </w:r>
      <w:r>
        <w:rPr>
          <w:color w:val="000000"/>
          <w:spacing w:val="5"/>
        </w:rPr>
        <w:t xml:space="preserve">ывается в соответствии с требованиями нормативно-технической документации по разработке ППР.</w:t>
      </w:r>
      <w:r>
        <w:rPr>
          <w:color w:val="000000"/>
          <w:spacing w:val="5"/>
        </w:rPr>
      </w:r>
      <w:r>
        <w:rPr>
          <w:color w:val="000000"/>
          <w:spacing w:val="5"/>
        </w:rPr>
      </w:r>
    </w:p>
    <w:p>
      <w:pPr>
        <w:ind w:firstLine="426"/>
        <w:jc w:val="both"/>
        <w:rPr>
          <w:color w:val="000000"/>
          <w:spacing w:val="5"/>
        </w:rPr>
      </w:pPr>
      <w:r>
        <w:rPr>
          <w:color w:val="000000"/>
          <w:spacing w:val="5"/>
        </w:rPr>
        <w:t xml:space="preserve">2 этап. Оформление допуска персонала к работам.</w:t>
      </w:r>
      <w:r>
        <w:rPr>
          <w:color w:val="000000"/>
          <w:spacing w:val="5"/>
        </w:rPr>
      </w:r>
      <w:r>
        <w:rPr>
          <w:color w:val="000000"/>
          <w:spacing w:val="5"/>
        </w:rPr>
      </w:r>
    </w:p>
    <w:p>
      <w:pPr>
        <w:ind w:firstLine="426"/>
        <w:jc w:val="both"/>
        <w:rPr>
          <w:color w:val="000000"/>
          <w:spacing w:val="5"/>
        </w:rPr>
      </w:pPr>
      <w:r>
        <w:rPr>
          <w:color w:val="000000"/>
          <w:spacing w:val="5"/>
        </w:rPr>
        <w:t xml:space="preserve">3 этап. Выполнение работ в соответствии с утвержденным графиком работ.</w:t>
      </w:r>
      <w:r>
        <w:rPr>
          <w:color w:val="000000"/>
          <w:spacing w:val="5"/>
        </w:rPr>
      </w:r>
      <w:r>
        <w:rPr>
          <w:color w:val="000000"/>
          <w:spacing w:val="5"/>
        </w:rPr>
      </w:r>
    </w:p>
    <w:p>
      <w:pPr>
        <w:ind w:firstLine="426"/>
        <w:jc w:val="both"/>
        <w:rPr>
          <w:color w:val="000000"/>
          <w:spacing w:val="5"/>
        </w:rPr>
      </w:pPr>
      <w:r>
        <w:rPr>
          <w:color w:val="000000"/>
          <w:spacing w:val="5"/>
        </w:rPr>
        <w:t xml:space="preserve">4 этап. Приемка/сдача работ, оформление испо</w:t>
      </w:r>
      <w:r>
        <w:rPr>
          <w:color w:val="000000"/>
          <w:spacing w:val="5"/>
        </w:rPr>
        <w:t xml:space="preserve">лнительной документации.</w:t>
      </w:r>
      <w:r>
        <w:rPr>
          <w:color w:val="000000"/>
          <w:spacing w:val="5"/>
        </w:rPr>
      </w:r>
      <w:r>
        <w:rPr>
          <w:color w:val="000000"/>
          <w:spacing w:val="5"/>
        </w:rPr>
      </w:r>
    </w:p>
    <w:p>
      <w:pPr>
        <w:ind w:firstLine="426"/>
        <w:jc w:val="both"/>
      </w:pPr>
      <w:r>
        <w:t xml:space="preserve">Подрядчик обязан в конкурсной заявке предоставить график производства работ, в котором должны быть отображены основные события, происходящие при выполнении работ, в порядке, определяемом техническими требованиями по организации рем</w:t>
      </w:r>
      <w:r>
        <w:t xml:space="preserve">онта лакокрасочного покрытия подъемных сооружений. </w:t>
      </w:r>
      <w:r/>
    </w:p>
    <w:p>
      <w:pPr>
        <w:jc w:val="both"/>
        <w:rPr>
          <w:b/>
        </w:rPr>
      </w:pPr>
      <w:r>
        <w:rPr>
          <w:b/>
        </w:rPr>
        <w:t xml:space="preserve">3.3. Требования к организации выполнение работ </w:t>
      </w:r>
      <w:r>
        <w:rPr>
          <w:b/>
        </w:rPr>
      </w:r>
      <w:r>
        <w:rPr>
          <w:b/>
        </w:rPr>
      </w:r>
    </w:p>
    <w:p>
      <w:pPr>
        <w:jc w:val="both"/>
      </w:pPr>
      <w:r>
        <w:t xml:space="preserve">3.3.1.</w:t>
      </w:r>
      <w:r>
        <w:tab/>
        <w:t xml:space="preserve">Подрядчик распорядительным документом по организации определяет ответственных представителей для решения административных и технических вопросов. О п</w:t>
      </w:r>
      <w:r>
        <w:t xml:space="preserve">роизведенных назначениях Подрядчик информирует Заказчика официальным письмом.</w:t>
      </w:r>
      <w:r/>
    </w:p>
    <w:p>
      <w:pPr>
        <w:jc w:val="both"/>
        <w:rPr>
          <w:bCs/>
          <w:iCs/>
        </w:rPr>
      </w:pPr>
      <w:r>
        <w:t xml:space="preserve">3.3.2. Персонал Подрядчика должен быть обучен правилам охраны труда, пожарной безопасности, работам на высоте (при условии выполнения работ на высоте персоналом), иметь д</w:t>
      </w:r>
      <w:r>
        <w:rPr>
          <w:bCs/>
          <w:iCs/>
        </w:rPr>
        <w:t xml:space="preserve">окументы</w:t>
      </w:r>
      <w:r>
        <w:rPr>
          <w:bCs/>
          <w:iCs/>
        </w:rPr>
        <w:t xml:space="preserve">, подтверждающие разрешение на право проведения соответствующих специальных работ (верхолазные работы и т.д.) в рамках объёма работ по настоящему Техническому заданию.</w:t>
      </w:r>
      <w:r>
        <w:rPr>
          <w:bCs/>
          <w:iCs/>
        </w:rPr>
      </w:r>
      <w:r>
        <w:rPr>
          <w:bCs/>
          <w:iCs/>
        </w:rPr>
      </w:r>
    </w:p>
    <w:p>
      <w:pPr>
        <w:jc w:val="both"/>
      </w:pPr>
      <w:r>
        <w:t xml:space="preserve">3.3.3.</w:t>
      </w:r>
      <w:r>
        <w:tab/>
        <w:t xml:space="preserve">С целью организации допуска к работам, не менее чем за 10 дней до начала работ, П</w:t>
      </w:r>
      <w:r>
        <w:t xml:space="preserve">одрядчик направляет в адрес Заказчика:</w:t>
      </w:r>
      <w:r/>
    </w:p>
    <w:p>
      <w:pPr>
        <w:numPr>
          <w:ilvl w:val="0"/>
          <w:numId w:val="46"/>
        </w:numPr>
        <w:ind w:left="426" w:firstLine="0"/>
        <w:jc w:val="both"/>
        <w:rPr>
          <w:b/>
        </w:rPr>
      </w:pPr>
      <w:r>
        <w:t xml:space="preserve">официальное письмо на пропуск персонала с приложением личных листков по учету кадров по форме в Приложении 4 и согласий на обработку персональных данных по форме в Приложении 4;</w:t>
      </w:r>
      <w:r>
        <w:rPr>
          <w:b/>
        </w:rPr>
      </w:r>
      <w:r>
        <w:rPr>
          <w:b/>
        </w:rPr>
      </w:r>
    </w:p>
    <w:p>
      <w:pPr>
        <w:numPr>
          <w:ilvl w:val="0"/>
          <w:numId w:val="46"/>
        </w:numPr>
        <w:ind w:left="426" w:firstLine="0"/>
        <w:jc w:val="both"/>
      </w:pPr>
      <w:r>
        <w:t xml:space="preserve">официальное письмо с приложением необходимы</w:t>
      </w:r>
      <w:r>
        <w:t xml:space="preserve">х документов, подтверждающих квалификацию, достаточную для проведения работ (по форме в Приложении 4), на персонал, который предполагается для допуска к работам.</w:t>
      </w:r>
      <w:r/>
    </w:p>
    <w:p>
      <w:pPr>
        <w:jc w:val="both"/>
      </w:pPr>
      <w:r>
        <w:t xml:space="preserve">3.3.4.</w:t>
      </w:r>
      <w:r>
        <w:tab/>
        <w:t xml:space="preserve">Подрядчик обеспечивает своими силами получение, разгрузку и доставку на место складирован</w:t>
      </w:r>
      <w:r>
        <w:t xml:space="preserve">ия и хранения грузов, непосредственно необходимых для выполнения работ. Подрядчик обеспечивает транспортировку оборудования и материалов от места складирования до места проведения работ. Места складирования оборудования и материалов должны быть согласованы</w:t>
      </w:r>
      <w:r>
        <w:t xml:space="preserve"> с Заказчиком до начала работ.</w:t>
      </w:r>
      <w:r/>
    </w:p>
    <w:p>
      <w:pPr>
        <w:jc w:val="both"/>
      </w:pPr>
      <w:r>
        <w:t xml:space="preserve">3.3.5.</w:t>
      </w:r>
      <w:r>
        <w:tab/>
        <w:t xml:space="preserve">Подрядчик обеспечивает безопасность труда своего персонала в пределах принятого объема работ, согласно требованиям правил по охране труда, а также противопожарные мероприятия.</w:t>
      </w:r>
      <w:r/>
    </w:p>
    <w:p>
      <w:pPr>
        <w:jc w:val="both"/>
      </w:pPr>
      <w:r>
        <w:t xml:space="preserve">3.3.6.</w:t>
      </w:r>
      <w:r>
        <w:tab/>
        <w:t xml:space="preserve">Обеспечение энергоснабжения работ, </w:t>
      </w:r>
      <w:r>
        <w:t xml:space="preserve">выполняемых Подрядчиком, подключение электроприводов механизмов и инструмента, средств электросварки и термообработки обеспечивается Заказчиком по предварительным заявкам руководителей работ, поданным начальнику электроцеха, в соответствии с требованиями «</w:t>
      </w:r>
      <w:r>
        <w:t xml:space="preserve">Правил по охране труда при эксплуатации электроустановок». В заявке необходимо указывать уровень питающего напряжения, мощность электроприемников, характеристики автоматического выключателя и питающего кабеля.</w:t>
      </w:r>
      <w:r/>
    </w:p>
    <w:p>
      <w:pPr>
        <w:jc w:val="both"/>
      </w:pPr>
      <w:r>
        <w:t xml:space="preserve">3.3.7.</w:t>
      </w:r>
      <w:r>
        <w:tab/>
        <w:t xml:space="preserve">Обеспечение работ сжатым воздухом, кисл</w:t>
      </w:r>
      <w:r>
        <w:t xml:space="preserve">ородом, пропаном, электродами и другими расходными материалами осуществляется Подрядчиком. </w:t>
      </w:r>
      <w:r/>
    </w:p>
    <w:p>
      <w:pPr>
        <w:jc w:val="both"/>
      </w:pPr>
      <w:r>
        <w:t xml:space="preserve">3.3.8. Привлечение специализированной техники (автокранов, подъемников и т.д.), необходимой для выполнения работ, обеспечивает Подрядчик. </w:t>
      </w:r>
      <w:r/>
    </w:p>
    <w:p>
      <w:pPr>
        <w:jc w:val="both"/>
      </w:pPr>
      <w:r>
        <w:t xml:space="preserve">3.3.9.</w:t>
      </w:r>
      <w:r>
        <w:tab/>
      </w:r>
      <w:r>
        <w:t xml:space="preserve">Подрядчик должен самостоятельно производить сбор, вывоз и утилизацию отходов, получаемых при проведении работ. Место временного хранения отходов на территории Заказчика, образованных в результате исполнения обязательств, Подрядчик обязан до начала производ</w:t>
      </w:r>
      <w:r>
        <w:t xml:space="preserve">ства работ согласовать с Заказчиком.</w:t>
      </w:r>
      <w:r/>
    </w:p>
    <w:p>
      <w:pPr>
        <w:jc w:val="both"/>
      </w:pPr>
      <w:r>
        <w:t xml:space="preserve">3.3.10.</w:t>
      </w:r>
      <w:r>
        <w:tab/>
        <w:t xml:space="preserve">Подрядчик или привлеченный Подрядчиком Субподрядчик является образователем и собственником отходов, образующихся в результате его деятельности (выполнения работ) на объекте Заказчика вне зависимости от срока дав</w:t>
      </w:r>
      <w:r>
        <w:t xml:space="preserve">ности выполненных работ, даже в случае, если материалы, применявшиеся при выполнении работ, находились в собственности Заказчика или иного лица, не осуществляющего выполнение работ. При этом отходы: лом черного и цветного металла, отработанные масла являют</w:t>
      </w:r>
      <w:r>
        <w:t xml:space="preserve">ся собственностью Заказчика.</w:t>
      </w:r>
      <w:r/>
    </w:p>
    <w:p>
      <w:pPr>
        <w:jc w:val="both"/>
      </w:pPr>
      <w:r>
        <w:t xml:space="preserve">3.3.11. Второгодные материалы и металлолом должны сдаваться Подрядчиком на склад Заказчика. Передача заказчику утилизируемого или не утилизируемого оборудования и материалов оформляется соответствующим актом. </w:t>
      </w:r>
      <w:r/>
    </w:p>
    <w:p>
      <w:pPr>
        <w:jc w:val="both"/>
      </w:pPr>
      <w:r>
        <w:t xml:space="preserve">3.3.12.</w:t>
      </w:r>
      <w:r>
        <w:tab/>
        <w:t xml:space="preserve">Подрядчик</w:t>
      </w:r>
      <w:r>
        <w:t xml:space="preserve"> должен самостоятельно производить сбор, вывоз и утилизацию отходов получаемых при проведении работ. </w:t>
      </w:r>
      <w:r/>
    </w:p>
    <w:p>
      <w:pPr>
        <w:jc w:val="both"/>
      </w:pPr>
      <w:r>
        <w:t xml:space="preserve">3.3.13.</w:t>
      </w:r>
      <w:r>
        <w:tab/>
        <w:t xml:space="preserve">Подрядчик должен под свою ответственность и за свой счет произвести обеспечение работ необходимой универсальной технологической оснасткой, средств</w:t>
      </w:r>
      <w:r>
        <w:t xml:space="preserve">ами малой механизации, инструментом, грузоподъемными механизмами (талями, лебедками и т.п.), съемными грузозахватными приспособлениями, необходимыми для выполнения работ.</w:t>
      </w:r>
      <w:r/>
    </w:p>
    <w:p>
      <w:pPr>
        <w:jc w:val="both"/>
        <w:rPr>
          <w:b/>
        </w:rPr>
      </w:pPr>
      <w:r>
        <w:rPr>
          <w:b/>
        </w:rPr>
        <w:t xml:space="preserve">3.4. Требования к применяемым материалам и оборудованию</w:t>
      </w:r>
      <w:r>
        <w:rPr>
          <w:b/>
        </w:rPr>
      </w:r>
      <w:r>
        <w:rPr>
          <w:b/>
        </w:rPr>
      </w:r>
    </w:p>
    <w:p>
      <w:pPr>
        <w:jc w:val="both"/>
      </w:pPr>
      <w:r>
        <w:t xml:space="preserve">3.4.1.</w:t>
      </w:r>
      <w:r>
        <w:tab/>
        <w:t xml:space="preserve">Все используемые для в</w:t>
      </w:r>
      <w:r>
        <w:t xml:space="preserve">ыполнения работ материалы и оборудование должны иметь соответствующие сертификаты, технические паспорта, аттестаты и другие документы, предусмотренные действующим законодательством, а также удостоверяющие их качество (на русском языке). При этом используем</w:t>
      </w:r>
      <w:r>
        <w:t xml:space="preserve">ые при выполнении работ материалы и поставляемое оборудование должно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</w:t>
      </w:r>
      <w:r>
        <w:t xml:space="preserve">ерез которую перемещается товар не является Украина (применяется в части перечня, утвержденного постановлением).</w:t>
      </w:r>
      <w:r/>
    </w:p>
    <w:p>
      <w:pPr>
        <w:jc w:val="both"/>
      </w:pPr>
      <w:r>
        <w:t xml:space="preserve">3.4.2.</w:t>
      </w:r>
      <w:r>
        <w:tab/>
        <w:t xml:space="preserve">Все поставляемые материалы должны быть:</w:t>
      </w:r>
      <w:r/>
    </w:p>
    <w:p>
      <w:pPr>
        <w:numPr>
          <w:ilvl w:val="0"/>
          <w:numId w:val="47"/>
        </w:numPr>
        <w:jc w:val="both"/>
      </w:pPr>
      <w:r>
        <w:t xml:space="preserve">быть сертифицированы согласно ФЗ от 27.12.2002 N 184-ФЗ «О техническом регулировании»;</w:t>
      </w:r>
      <w:r/>
    </w:p>
    <w:p>
      <w:pPr>
        <w:numPr>
          <w:ilvl w:val="0"/>
          <w:numId w:val="47"/>
        </w:numPr>
        <w:jc w:val="both"/>
      </w:pPr>
      <w:r>
        <w:t xml:space="preserve">соответствовать требованиям ФЗ от 22.07.2008 N 123-ФЗ «Технический регламент о требованиях пожарной безопасности»; </w:t>
      </w:r>
      <w:r/>
    </w:p>
    <w:p>
      <w:pPr>
        <w:numPr>
          <w:ilvl w:val="0"/>
          <w:numId w:val="47"/>
        </w:numPr>
        <w:jc w:val="both"/>
      </w:pPr>
      <w:r>
        <w:t xml:space="preserve">соответствовать действующим техническим регламентам Таможенного союза, а также соответствовать вступающим в силу техническим регламентам Там</w:t>
      </w:r>
      <w:r>
        <w:t xml:space="preserve">оженного союза на момент поставки, иметь разрешительные и сопроводительные документы, паспорта;</w:t>
      </w:r>
      <w:r/>
    </w:p>
    <w:p>
      <w:pPr>
        <w:numPr>
          <w:ilvl w:val="0"/>
          <w:numId w:val="47"/>
        </w:numPr>
        <w:jc w:val="both"/>
      </w:pPr>
      <w:r>
        <w:t xml:space="preserve">быть новыми (год выпуска – не ранее 3 квартала 2025г.) и ранее не использованными.</w:t>
      </w:r>
      <w:r/>
    </w:p>
    <w:p>
      <w:pPr>
        <w:jc w:val="both"/>
      </w:pPr>
      <w:r>
        <w:t xml:space="preserve">3.4.3.</w:t>
      </w:r>
      <w:r>
        <w:tab/>
        <w:t xml:space="preserve">Маркировка, консервация и упаковка используемых Подрядчиком МТР от воз</w:t>
      </w:r>
      <w:r>
        <w:t xml:space="preserve">действия климатических факторов внешней среды должна обеспечивать их сохранность при транспортировке и хранении до монтажа на объекте. Условия транспортировки, хранения и воздействия механических факторов определяются Подрядчиком и согласовываются Заказчик</w:t>
      </w:r>
      <w:r>
        <w:t xml:space="preserve">ом.</w:t>
      </w:r>
      <w:r/>
    </w:p>
    <w:p>
      <w:pPr>
        <w:jc w:val="both"/>
      </w:pPr>
      <w:r>
        <w:t xml:space="preserve">3.4.4.</w:t>
      </w:r>
      <w:r>
        <w:tab/>
        <w:t xml:space="preserve">Заказчик совместно с Подрядчиком осуществляет входной контроль качества применяемых материалов.</w:t>
      </w:r>
      <w:r/>
    </w:p>
    <w:p>
      <w:pPr>
        <w:jc w:val="both"/>
      </w:pPr>
      <w:r>
        <w:t xml:space="preserve">3.4.5.</w:t>
      </w:r>
      <w:r>
        <w:tab/>
        <w:t xml:space="preserve">Подготовку и хранение МТР необходимо производить за пределами рабочей зоны и доставлять к месту проведения работ подготовленными к применению.</w:t>
      </w:r>
      <w:r>
        <w:t xml:space="preserve"> </w:t>
      </w:r>
      <w:r/>
    </w:p>
    <w:p>
      <w:pPr>
        <w:jc w:val="both"/>
      </w:pPr>
      <w:r>
        <w:t xml:space="preserve">3.4.6.</w:t>
      </w:r>
      <w:r>
        <w:tab/>
        <w:t xml:space="preserve">Подрядчик отвечает за соответствие качества материалов, применяемых при производстве работ, государственным стандартам и техническим условиям и несет риск убытков, связанных с их ненадлежащим качеством.</w:t>
      </w:r>
      <w:r/>
    </w:p>
    <w:p>
      <w:pPr>
        <w:jc w:val="both"/>
      </w:pPr>
      <w:r/>
      <w:bookmarkStart w:id="3" w:name="_Hlk180506114"/>
      <w:r>
        <w:t xml:space="preserve">3.4.7.</w:t>
      </w:r>
      <w:r>
        <w:tab/>
        <w:t xml:space="preserve">Для оприходования материальных ценнос</w:t>
      </w:r>
      <w:r>
        <w:t xml:space="preserve">тей, полученных при разборке и демонтаже, стороны составляют Акт формы Ф.24-ЭГ. Акт составляется Подрядчиком и подписывается в 3-х экземплярах комиссией, состоящей из представителей Заказчика и Подрядчика. Первый и второй экземпляры акта остаются у Заказчи</w:t>
      </w:r>
      <w:r>
        <w:t xml:space="preserve">ка, третий - у Подрядчика и прикладывается к акту выполненных работ (КС-2).</w:t>
      </w:r>
      <w:bookmarkEnd w:id="3"/>
      <w:r/>
      <w:r/>
    </w:p>
    <w:p>
      <w:pPr>
        <w:jc w:val="both"/>
        <w:rPr>
          <w:b/>
        </w:rPr>
      </w:pPr>
      <w:r>
        <w:rPr>
          <w:b/>
        </w:rPr>
        <w:t xml:space="preserve">3.5. Требования безопасности</w:t>
      </w:r>
      <w:r>
        <w:rPr>
          <w:b/>
        </w:rPr>
      </w:r>
      <w:r>
        <w:rPr>
          <w:b/>
        </w:rPr>
      </w:r>
    </w:p>
    <w:p>
      <w:pPr>
        <w:jc w:val="both"/>
      </w:pPr>
      <w:r>
        <w:t xml:space="preserve">3.5.1.</w:t>
      </w:r>
      <w:r>
        <w:tab/>
        <w:t xml:space="preserve">Подрядчик несёт ответственность за обеспечение своих работников средствами индивидуальной защиты, инструментом и приспособлениями, необходимыми </w:t>
      </w:r>
      <w:r>
        <w:t xml:space="preserve">для выполнения работ.</w:t>
      </w:r>
      <w:r/>
    </w:p>
    <w:p>
      <w:pPr>
        <w:jc w:val="both"/>
      </w:pPr>
      <w:r>
        <w:t xml:space="preserve">3.5.2.</w:t>
      </w:r>
      <w:r>
        <w:tab/>
        <w:t xml:space="preserve">Персонал Подрядчика до начала производства работ должен быть обучен требованиям пожарной безопасности.</w:t>
      </w:r>
      <w:r/>
    </w:p>
    <w:p>
      <w:pPr>
        <w:jc w:val="both"/>
      </w:pPr>
      <w:r>
        <w:t xml:space="preserve">3.5.3.</w:t>
      </w:r>
      <w:r>
        <w:tab/>
        <w:t xml:space="preserve">Персонал Подрядчика во время нахождения на территории Заказчика должен иметь при себе удостоверение о прохождении про</w:t>
      </w:r>
      <w:r>
        <w:t xml:space="preserve">верки знаний требований нормативных документов по охране труда, пожарной безопасности и промышленной безопасности (при условии выполнения работ на опасном производственном объекте). Право допуска к выполнению поручаемых работ, должно быть подтверждено пись</w:t>
      </w:r>
      <w:r>
        <w:t xml:space="preserve">мом руководителя подрядной организации.</w:t>
      </w:r>
      <w:r/>
    </w:p>
    <w:p>
      <w:pPr>
        <w:jc w:val="both"/>
      </w:pPr>
      <w:r>
        <w:t xml:space="preserve">3.5.4.</w:t>
      </w:r>
      <w:r>
        <w:tab/>
        <w:t xml:space="preserve">Подрядчик обеспечивает соблюдение собственным персоналом правил внутреннего трудового распорядка, инструкции пропускного и внутриобъектового режима организации Заказчика, правил техники безопасности, правил пр</w:t>
      </w:r>
      <w:r>
        <w:t xml:space="preserve">отивопожарного режима (безопасности), инструкции о проведении огневых работ на территории заказчика. </w:t>
      </w:r>
      <w:r/>
    </w:p>
    <w:p>
      <w:pPr>
        <w:jc w:val="both"/>
      </w:pPr>
      <w:r>
        <w:t xml:space="preserve">3.5.5.</w:t>
      </w:r>
      <w:r>
        <w:tab/>
        <w:t xml:space="preserve">Подрядчик несет ответственность за причиненные его персоналом убытки, связанные с конфликтами, нарушением дисциплины.</w:t>
      </w:r>
      <w:r/>
    </w:p>
    <w:p>
      <w:pPr>
        <w:jc w:val="both"/>
      </w:pPr>
      <w:r>
        <w:t xml:space="preserve">3.5.6.</w:t>
      </w:r>
      <w:r>
        <w:tab/>
        <w:t xml:space="preserve">Подрядчик обязан предо</w:t>
      </w:r>
      <w:r>
        <w:t xml:space="preserve">ставлять Заказчику всю информацию о состоянии охраны труда, травматизме в своей организации при проведении работ. Подрядчик обязан в течение 15 минут предоставить оперативную информацию Заказчику о произошедшем несчастном случае с персоналом на территории </w:t>
      </w:r>
      <w:r>
        <w:t xml:space="preserve">Заказчика.</w:t>
      </w:r>
      <w:r/>
    </w:p>
    <w:p>
      <w:pPr>
        <w:jc w:val="both"/>
      </w:pPr>
      <w:r>
        <w:t xml:space="preserve">3.5.7.</w:t>
      </w:r>
      <w:r>
        <w:tab/>
        <w:t xml:space="preserve"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  <w:r/>
    </w:p>
    <w:p>
      <w:pPr>
        <w:jc w:val="both"/>
      </w:pPr>
      <w:r>
        <w:t xml:space="preserve">3.5.8. При проведении совместных работ одновременно несколькими организация</w:t>
      </w:r>
      <w:r>
        <w:t xml:space="preserve">ми, необходимо работы, производящиеся в зоне работ других организаций, согласовывать и производить в соответствии с правилами технической эксплуатации электрических станций и сетей и правилами техники безопасности тепломеханического оборудования электроста</w:t>
      </w:r>
      <w:r>
        <w:t xml:space="preserve">нций и тепловых сетей.</w:t>
      </w:r>
      <w:r/>
    </w:p>
    <w:p>
      <w:pPr>
        <w:jc w:val="both"/>
      </w:pPr>
      <w:r>
        <w:t xml:space="preserve">3.5.9.</w:t>
      </w:r>
      <w:r>
        <w:tab/>
        <w:t xml:space="preserve">При производстве работ должны выполняться мероприятия по охране труда и технике безопасности, в том числе отраженные в разработанном ППР.</w:t>
      </w:r>
      <w:r/>
    </w:p>
    <w:p>
      <w:pPr>
        <w:jc w:val="both"/>
      </w:pPr>
      <w:r>
        <w:t xml:space="preserve">3.5.10.</w:t>
      </w:r>
      <w:r>
        <w:tab/>
        <w:t xml:space="preserve">Подрядчик обязан обеспечить содержание и уборку рабочих мест, на которых выполня</w:t>
      </w:r>
      <w:r>
        <w:t xml:space="preserve">ются работы. </w:t>
      </w:r>
      <w:r/>
    </w:p>
    <w:p>
      <w:pPr>
        <w:jc w:val="both"/>
        <w:rPr>
          <w:highlight w:val="none"/>
        </w:rPr>
      </w:pPr>
      <w:r>
        <w:t xml:space="preserve">3.5.11.</w:t>
      </w:r>
      <w:r>
        <w:tab/>
        <w:t xml:space="preserve">Подрядчик должен иметь право на выполнение работ по Акту-допуску в качестве командированного персонала в соответствии с требованиями Правил техники безопасности при эксплуатации тепломеханического оборудования электростанций, тепловых</w:t>
      </w:r>
      <w:r>
        <w:t xml:space="preserve"> сетей и электроустановок.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</w:rPr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3.5.12.</w:t>
      </w:r>
      <w:r>
        <w:rPr>
          <w:rFonts w:ascii="Liberation Serif" w:hAnsi="Liberation Serif" w:eastAsia="Liberation Serif" w:cs="Liberation Serif"/>
          <w:sz w:val="24"/>
          <w:szCs w:val="24"/>
        </w:rPr>
        <w:tab/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white"/>
        </w:rPr>
        <w:t xml:space="preserve">Подрядчик обязан соблюдать утвержденные у Заказчика типовые Требования по охране труда, промышленной и пожарной безопасности (и обеспечивать соблюдение указанных типовых Требований привлекаемыми ими субподрядчиками) согласно Приложению № 5 к настоящему Тех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white"/>
        </w:rPr>
        <w:t xml:space="preserve">ническому заданию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whit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</w:pPr>
      <w:r>
        <w:rPr>
          <w:highlight w:val="none"/>
        </w:rPr>
      </w:r>
      <w:r>
        <w:rPr>
          <w:highlight w:val="none"/>
        </w:rPr>
      </w:r>
      <w:r/>
    </w:p>
    <w:p>
      <w:pPr>
        <w:jc w:val="both"/>
        <w:rPr>
          <w:b/>
        </w:rPr>
      </w:pPr>
      <w:r>
        <w:rPr>
          <w:b/>
        </w:rPr>
        <w:t xml:space="preserve">3.6. Требования к порядку подготовки и передачи Заказчику документов при выполнении работ и их завершении</w:t>
      </w:r>
      <w:r>
        <w:rPr>
          <w:b/>
        </w:rPr>
      </w:r>
      <w:r>
        <w:rPr>
          <w:b/>
        </w:rPr>
      </w:r>
    </w:p>
    <w:p>
      <w:pPr>
        <w:jc w:val="both"/>
        <w:rPr>
          <w:iCs/>
        </w:rPr>
      </w:pPr>
      <w:r>
        <w:rPr>
          <w:iCs/>
        </w:rPr>
        <w:t xml:space="preserve">3.6.1.</w:t>
      </w:r>
      <w:r>
        <w:rPr>
          <w:iCs/>
        </w:rPr>
        <w:tab/>
        <w:t xml:space="preserve">До начала работ Подрядчик передает Заказчику документы, удостоверяющие качество используемых материалов, конструкций</w:t>
      </w:r>
      <w:r>
        <w:rPr>
          <w:iCs/>
        </w:rPr>
        <w:t xml:space="preserve">, изделий и оборудования (сертификаты соответствия, сертификаты о пожарной безопасности, сертификаты качества, паспорта, протоколы испытаний), техническую документацию предприятий-изготовителей (гарантийные талоны, инструкции, руководство по эксплуатации, </w:t>
      </w:r>
      <w:r>
        <w:rPr>
          <w:iCs/>
        </w:rPr>
        <w:t xml:space="preserve">информационные листы, свидетельство о поверке штатных измерительных приборов).</w:t>
      </w:r>
      <w:r>
        <w:rPr>
          <w:iCs/>
        </w:rPr>
      </w:r>
      <w:r>
        <w:rPr>
          <w:iCs/>
        </w:rPr>
      </w:r>
    </w:p>
    <w:p>
      <w:pPr>
        <w:jc w:val="both"/>
        <w:rPr>
          <w:iCs/>
        </w:rPr>
      </w:pPr>
      <w:r>
        <w:rPr>
          <w:iCs/>
        </w:rPr>
        <w:t xml:space="preserve">3.6.2.</w:t>
      </w:r>
      <w:r>
        <w:rPr>
          <w:iCs/>
        </w:rPr>
        <w:tab/>
        <w:t xml:space="preserve">До начала выполнения работ, при проведении которых возможно повреждение оборудования Заказчика или нанесения вреда здоровью персонала, Подрядчик разрабатывает и предостав</w:t>
      </w:r>
      <w:r>
        <w:rPr>
          <w:iCs/>
        </w:rPr>
        <w:t xml:space="preserve">ляет Заказчику проект производства работ (ППР), содержащий конкретные решения по защите работающих от воздействия опасных и вредных производственных факторов. </w:t>
      </w:r>
      <w:r>
        <w:rPr>
          <w:iCs/>
        </w:rPr>
      </w:r>
      <w:r>
        <w:rPr>
          <w:iCs/>
        </w:rPr>
      </w:r>
    </w:p>
    <w:p>
      <w:pPr>
        <w:jc w:val="both"/>
        <w:rPr>
          <w:iCs/>
        </w:rPr>
      </w:pPr>
      <w:r>
        <w:rPr>
          <w:iCs/>
        </w:rPr>
        <w:t xml:space="preserve">3.6.3</w:t>
      </w:r>
      <w:r>
        <w:rPr>
          <w:iCs/>
        </w:rPr>
        <w:tab/>
        <w:t xml:space="preserve">Подрядчик подготавливает и предъявляет приемочной комиссии Заказчика исполнительную докуме</w:t>
      </w:r>
      <w:r>
        <w:rPr>
          <w:iCs/>
        </w:rPr>
        <w:t xml:space="preserve">нтацию, составленную по результатам выполнения работ, в составе:</w:t>
      </w:r>
      <w:r>
        <w:rPr>
          <w:iCs/>
        </w:rPr>
      </w:r>
      <w:r>
        <w:rPr>
          <w:iCs/>
        </w:rPr>
      </w:r>
    </w:p>
    <w:p>
      <w:pPr>
        <w:pStyle w:val="960"/>
        <w:numPr>
          <w:ilvl w:val="0"/>
          <w:numId w:val="48"/>
        </w:numPr>
        <w:jc w:val="both"/>
        <w:tabs>
          <w:tab w:val="left" w:pos="993" w:leader="none"/>
        </w:tabs>
        <w:rPr>
          <w:iCs/>
        </w:rPr>
      </w:pPr>
      <w:r>
        <w:rPr>
          <w:iCs/>
        </w:rPr>
        <w:t xml:space="preserve">ППР;</w:t>
      </w:r>
      <w:r>
        <w:rPr>
          <w:iCs/>
        </w:rPr>
      </w:r>
      <w:r>
        <w:rPr>
          <w:iCs/>
        </w:rPr>
      </w:r>
    </w:p>
    <w:p>
      <w:pPr>
        <w:pStyle w:val="960"/>
        <w:numPr>
          <w:ilvl w:val="0"/>
          <w:numId w:val="48"/>
        </w:numPr>
        <w:jc w:val="both"/>
        <w:tabs>
          <w:tab w:val="left" w:pos="993" w:leader="none"/>
        </w:tabs>
        <w:rPr>
          <w:iCs/>
        </w:rPr>
      </w:pPr>
      <w:r>
        <w:rPr>
          <w:iCs/>
        </w:rPr>
        <w:t xml:space="preserve">акты-допуски, наряды-допуски (копии);</w:t>
      </w:r>
      <w:r>
        <w:rPr>
          <w:iCs/>
        </w:rPr>
      </w:r>
      <w:r>
        <w:rPr>
          <w:iCs/>
        </w:rPr>
      </w:r>
    </w:p>
    <w:p>
      <w:pPr>
        <w:pStyle w:val="960"/>
        <w:numPr>
          <w:ilvl w:val="0"/>
          <w:numId w:val="48"/>
        </w:numPr>
        <w:jc w:val="both"/>
        <w:tabs>
          <w:tab w:val="left" w:pos="993" w:leader="none"/>
        </w:tabs>
        <w:rPr>
          <w:iCs/>
        </w:rPr>
      </w:pPr>
      <w:r>
        <w:rPr>
          <w:iCs/>
        </w:rPr>
        <w:t xml:space="preserve">журнал входного контроля МТР Подрядчика с приложением сертификатов; </w:t>
      </w:r>
      <w:r>
        <w:rPr>
          <w:iCs/>
        </w:rPr>
      </w:r>
      <w:r>
        <w:rPr>
          <w:iCs/>
        </w:rPr>
      </w:r>
    </w:p>
    <w:p>
      <w:pPr>
        <w:pStyle w:val="960"/>
        <w:numPr>
          <w:ilvl w:val="0"/>
          <w:numId w:val="48"/>
        </w:numPr>
        <w:jc w:val="both"/>
        <w:tabs>
          <w:tab w:val="left" w:pos="993" w:leader="none"/>
        </w:tabs>
        <w:rPr>
          <w:iCs/>
        </w:rPr>
      </w:pPr>
      <w:r>
        <w:rPr>
          <w:iCs/>
        </w:rPr>
        <w:t xml:space="preserve">акты освидетельствования скрытых работ с приложением исполнительных схем;</w:t>
      </w:r>
      <w:r>
        <w:rPr>
          <w:iCs/>
        </w:rPr>
      </w:r>
      <w:r>
        <w:rPr>
          <w:iCs/>
        </w:rPr>
      </w:r>
    </w:p>
    <w:p>
      <w:pPr>
        <w:pStyle w:val="960"/>
        <w:numPr>
          <w:ilvl w:val="0"/>
          <w:numId w:val="48"/>
        </w:numPr>
        <w:jc w:val="both"/>
        <w:tabs>
          <w:tab w:val="left" w:pos="993" w:leader="none"/>
        </w:tabs>
        <w:rPr>
          <w:iCs/>
          <w:highlight w:val="white"/>
        </w:rPr>
      </w:pPr>
      <w:r>
        <w:rPr>
          <w:iCs/>
          <w:highlight w:val="white"/>
        </w:rPr>
        <w:t xml:space="preserve">фотоматериалы, подтверждающие выполнение этапов работ;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960"/>
        <w:numPr>
          <w:ilvl w:val="0"/>
          <w:numId w:val="48"/>
        </w:numPr>
        <w:jc w:val="both"/>
        <w:tabs>
          <w:tab w:val="left" w:pos="993" w:leader="none"/>
        </w:tabs>
        <w:rPr>
          <w:iCs/>
          <w:highlight w:val="white"/>
        </w:rPr>
      </w:pPr>
      <w:r>
        <w:rPr>
          <w:iCs/>
          <w:highlight w:val="white"/>
        </w:rPr>
        <w:t xml:space="preserve">сварочная документация (при условии проведения сварочных работ): сварочный формуляр, протоколы контроля и прочее;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960"/>
        <w:numPr>
          <w:ilvl w:val="0"/>
          <w:numId w:val="48"/>
        </w:numPr>
        <w:jc w:val="both"/>
        <w:tabs>
          <w:tab w:val="left" w:pos="993" w:leader="none"/>
        </w:tabs>
        <w:rPr>
          <w:iCs/>
          <w:highlight w:val="white"/>
        </w:rPr>
      </w:pPr>
      <w:r>
        <w:rPr>
          <w:iCs/>
          <w:highlight w:val="white"/>
        </w:rPr>
        <w:t xml:space="preserve">акт сдачи металлолома (при необходимости);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960"/>
        <w:numPr>
          <w:ilvl w:val="0"/>
          <w:numId w:val="48"/>
        </w:numPr>
        <w:jc w:val="both"/>
        <w:tabs>
          <w:tab w:val="left" w:pos="993" w:leader="none"/>
        </w:tabs>
        <w:rPr>
          <w:iCs/>
          <w:highlight w:val="white"/>
        </w:rPr>
      </w:pPr>
      <w:r>
        <w:rPr>
          <w:iCs/>
          <w:highlight w:val="white"/>
        </w:rPr>
        <w:t xml:space="preserve">акт дефектации (составляется в случае отклон</w:t>
      </w:r>
      <w:r>
        <w:rPr>
          <w:iCs/>
          <w:highlight w:val="white"/>
        </w:rPr>
        <w:t xml:space="preserve">ения объемов работ от плановых);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960"/>
        <w:numPr>
          <w:ilvl w:val="0"/>
          <w:numId w:val="48"/>
        </w:numPr>
        <w:jc w:val="both"/>
        <w:tabs>
          <w:tab w:val="left" w:pos="993" w:leader="none"/>
        </w:tabs>
        <w:rPr>
          <w:iCs/>
          <w:highlight w:val="white"/>
        </w:rPr>
      </w:pPr>
      <w:r>
        <w:rPr>
          <w:iCs/>
          <w:highlight w:val="white"/>
        </w:rPr>
        <w:t xml:space="preserve">акт приемки (окончательный); 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960"/>
        <w:numPr>
          <w:ilvl w:val="0"/>
          <w:numId w:val="48"/>
        </w:numPr>
        <w:jc w:val="both"/>
        <w:tabs>
          <w:tab w:val="left" w:pos="993" w:leader="none"/>
        </w:tabs>
        <w:rPr>
          <w:iCs/>
        </w:rPr>
      </w:pPr>
      <w:r>
        <w:rPr>
          <w:iCs/>
        </w:rPr>
        <w:t xml:space="preserve">прочая первичная учётная документация в соответствии с требованиями договора.</w:t>
      </w:r>
      <w:r>
        <w:rPr>
          <w:iCs/>
        </w:rPr>
      </w:r>
      <w:r>
        <w:rPr>
          <w:iCs/>
        </w:rPr>
      </w:r>
    </w:p>
    <w:p>
      <w:pPr>
        <w:ind w:firstLine="360"/>
        <w:jc w:val="both"/>
        <w:tabs>
          <w:tab w:val="left" w:pos="993" w:leader="none"/>
        </w:tabs>
        <w:rPr>
          <w:iCs/>
        </w:rPr>
      </w:pPr>
      <w:r>
        <w:rPr>
          <w:iCs/>
        </w:rPr>
        <w:t xml:space="preserve">Исполнительная документация составляется в двух экземплярах, комплектуется в общую папку с приложением реестра (пер</w:t>
      </w:r>
      <w:r>
        <w:rPr>
          <w:iCs/>
        </w:rPr>
        <w:t xml:space="preserve">ечня) прилагаемой документации. </w:t>
      </w:r>
      <w:r>
        <w:rPr>
          <w:iCs/>
        </w:rPr>
      </w:r>
      <w:r>
        <w:rPr>
          <w:iCs/>
        </w:rPr>
      </w:r>
    </w:p>
    <w:p>
      <w:pPr>
        <w:jc w:val="both"/>
        <w:rPr>
          <w:b/>
        </w:rPr>
      </w:pPr>
      <w:r>
        <w:rPr>
          <w:b/>
        </w:rPr>
        <w:t xml:space="preserve">3.7. Требования к гарантийным обязательствам</w:t>
      </w:r>
      <w:r>
        <w:rPr>
          <w:b/>
        </w:rPr>
      </w:r>
      <w:r>
        <w:rPr>
          <w:b/>
        </w:rPr>
      </w:r>
    </w:p>
    <w:p>
      <w:pPr>
        <w:jc w:val="both"/>
        <w:rPr>
          <w:rFonts w:eastAsia="Calibri"/>
        </w:rPr>
      </w:pPr>
      <w:r>
        <w:rPr>
          <w:rFonts w:eastAsia="Calibri"/>
        </w:rPr>
        <w:t xml:space="preserve">3.7.1.</w:t>
      </w:r>
      <w:r>
        <w:rPr>
          <w:rFonts w:eastAsia="Calibri"/>
        </w:rPr>
        <w:tab/>
        <w:t xml:space="preserve">Гарантийный срок на результаты выполненных работ должен составлять не менее 12 месяцев с момента подписания акта о выполненных работ по форме КС-2. </w:t>
      </w:r>
      <w:r>
        <w:rPr>
          <w:rFonts w:eastAsia="Calibri"/>
        </w:rPr>
      </w:r>
      <w:r>
        <w:rPr>
          <w:rFonts w:eastAsia="Calibri"/>
        </w:rPr>
      </w:r>
    </w:p>
    <w:p>
      <w:pPr>
        <w:jc w:val="both"/>
        <w:rPr>
          <w:rFonts w:eastAsia="Calibri"/>
        </w:rPr>
      </w:pPr>
      <w:r>
        <w:rPr>
          <w:rFonts w:eastAsia="Calibri"/>
        </w:rPr>
        <w:t xml:space="preserve">3.7.2.</w:t>
      </w:r>
      <w:r>
        <w:rPr>
          <w:rFonts w:eastAsia="Calibri"/>
        </w:rPr>
        <w:tab/>
      </w:r>
      <w:r>
        <w:rPr>
          <w:rFonts w:eastAsia="Calibri"/>
        </w:rPr>
        <w:t xml:space="preserve">При наступлении гарантийного случая, в течение гарантийного срока Подрядчик обязан в течение 3-х дней с даты получения письменного уведомления Заказчика направить представителя Подрядчика для участия в комиссии по расследованию гарантийного случая.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В рамка</w:t>
      </w:r>
      <w:r>
        <w:rPr>
          <w:rFonts w:eastAsia="Calibri"/>
        </w:rPr>
        <w:t xml:space="preserve">х гарантийных обязательств Подрядчик устраняет все выявленные дефекты за свой счёт. В случае, если дефекты устраняются силами Заказчика или других подрядных организаций, Подрядчик должен возместить затраты Заказчика на устранение дефектов.</w:t>
      </w:r>
      <w:r>
        <w:rPr>
          <w:rFonts w:eastAsia="Calibri"/>
        </w:rPr>
      </w:r>
      <w:r>
        <w:rPr>
          <w:rFonts w:eastAsia="Calibri"/>
        </w:rPr>
      </w:r>
    </w:p>
    <w:p>
      <w:pPr>
        <w:jc w:val="both"/>
        <w:rPr>
          <w:b/>
        </w:rPr>
      </w:pPr>
      <w:r>
        <w:rPr>
          <w:b/>
        </w:rPr>
        <w:t xml:space="preserve">3.8. Ответственн</w:t>
      </w:r>
      <w:r>
        <w:rPr>
          <w:b/>
        </w:rPr>
        <w:t xml:space="preserve">ость подрядчика</w:t>
      </w:r>
      <w:r>
        <w:rPr>
          <w:b/>
        </w:rPr>
      </w:r>
      <w:r>
        <w:rPr>
          <w:b/>
        </w:rPr>
      </w:r>
    </w:p>
    <w:p>
      <w:pPr>
        <w:jc w:val="both"/>
      </w:pPr>
      <w:r>
        <w:t xml:space="preserve">3.8.1.</w:t>
      </w:r>
      <w:r>
        <w:tab/>
        <w:t xml:space="preserve">За нарушение условий технического задания, повлекшее ухудшение результата работ, Заказчик вправе потребовать от Подрядчика безвозмездного устранения недостатков в сроки, установленные Заказчиком либо соразмерного уменьшения стоимости</w:t>
      </w:r>
      <w:r>
        <w:t xml:space="preserve"> работ.</w:t>
      </w:r>
      <w:r/>
    </w:p>
    <w:p>
      <w:pPr>
        <w:jc w:val="both"/>
      </w:pPr>
      <w:r>
        <w:t xml:space="preserve">3.8.2.</w:t>
      </w:r>
      <w:r>
        <w:tab/>
        <w:t xml:space="preserve">Подрядчик несет риск убытков, связанных с ненадлежащим качеством выполнения работ, недостоверными показаниями и другими условиями, ухудшающими результаты работ.</w:t>
      </w:r>
      <w:r/>
    </w:p>
    <w:p>
      <w:pPr>
        <w:jc w:val="both"/>
      </w:pPr>
      <w:r>
        <w:t xml:space="preserve">3.8.3.</w:t>
      </w:r>
      <w:r>
        <w:tab/>
        <w:t xml:space="preserve">Подрядчик отвечает за соответствие качества материалов, применяемых при п</w:t>
      </w:r>
      <w:r>
        <w:t xml:space="preserve">роизводстве работ, государственным стандартам и техническим условиям и несет риск убытков, связанных с их ненадлежащим качеством.</w:t>
      </w:r>
      <w:r/>
    </w:p>
    <w:p>
      <w:pPr>
        <w:jc w:val="both"/>
      </w:pPr>
      <w:r>
        <w:t xml:space="preserve">3.8.4.</w:t>
      </w:r>
      <w:r>
        <w:tab/>
        <w:t xml:space="preserve">Подрядчик несет ответственность за ущерб, причиненный людям, зданиям, сооружениям, оборудованию, окружающей среде, за с</w:t>
      </w:r>
      <w:r>
        <w:t xml:space="preserve">облюдение требований охраны труда, пожарной и промышленной безопасности в процессе производства работ. </w:t>
      </w:r>
      <w:r/>
    </w:p>
    <w:p>
      <w:pPr>
        <w:jc w:val="both"/>
      </w:pPr>
      <w:r>
        <w:t xml:space="preserve">3.8.5.</w:t>
      </w:r>
      <w:r>
        <w:tab/>
        <w:t xml:space="preserve">Подрядчик несет ответственность за убытки, понесенные Заказчиком вследствие простоя производства (оборудования) по причине неисполнения либо нена</w:t>
      </w:r>
      <w:r>
        <w:t xml:space="preserve">длежащего исполнения Подрядчиком своих обязательств.</w:t>
      </w:r>
      <w:r/>
    </w:p>
    <w:p>
      <w:pPr>
        <w:jc w:val="both"/>
      </w:pPr>
      <w:r>
        <w:t xml:space="preserve">3.8.6.</w:t>
      </w:r>
      <w:r>
        <w:tab/>
        <w:t xml:space="preserve">Уплата неустойки и возмещение убытков не освобождает Подрядчика от исполнения работ по договору и устранения нарушений. В случаях, когда работы выполнены Подрядчиком с отступлением от требований Т</w:t>
      </w:r>
      <w:r>
        <w:t xml:space="preserve">З, ухудшившими их качество, Заказчик вправе по своему выбору потребовать от Подрядчика безвозмездного устранения недостатков в разумный срок либо уменьшения установленной цены за оказанные услуги. При не устранении Подрядчиком выявленных недостатков услуг </w:t>
      </w:r>
      <w:r>
        <w:t xml:space="preserve">в срок, установленный Заказчиком (в срок, согласованный сторонами), либо если недостатки являются неустранимыми, Заказчик вправе потребовать возмещения причиненных убытков.</w:t>
      </w:r>
      <w:r/>
    </w:p>
    <w:p>
      <w:pPr>
        <w:jc w:val="both"/>
      </w:pPr>
      <w:r>
        <w:t xml:space="preserve">3.8.7. В случае привлечения Подрядчиком субподрядной организации Подрядчик в полном</w:t>
      </w:r>
      <w:r>
        <w:t xml:space="preserve"> объёме несёт ответственность за действия субподрядчика, в том числе, соблюдения персоналом субподрядной организации производственной дисциплины.</w:t>
      </w:r>
      <w:r/>
    </w:p>
    <w:p>
      <w:pPr>
        <w:jc w:val="both"/>
        <w:rPr>
          <w:b/>
        </w:rPr>
      </w:pPr>
      <w:r>
        <w:rPr>
          <w:b/>
        </w:rPr>
        <w:t xml:space="preserve">3.9. Требования к порядку привлечения субподрядчиков </w:t>
      </w:r>
      <w:r>
        <w:rPr>
          <w:b/>
        </w:rPr>
      </w:r>
      <w:r>
        <w:rPr>
          <w:b/>
        </w:rPr>
      </w:r>
    </w:p>
    <w:p>
      <w:pPr>
        <w:ind w:firstLine="284"/>
        <w:jc w:val="both"/>
      </w:pPr>
      <w:r>
        <w:t xml:space="preserve">Подрядчик для выполнения работ, может привлекать субподр</w:t>
      </w:r>
      <w:r>
        <w:t xml:space="preserve">ядные организации. При этом объем работ, выполняемых субподрядными организациями, не должен превышать 50% от объема работ по договору. В случае замены или привлечения новых субподрядчиков после завершения закупочной процедуры, информация о которых ранее не</w:t>
      </w:r>
      <w:r>
        <w:t xml:space="preserve"> была представлена в заявке Участника, Подрядчик должен согласовать привлечение таких субподрядных организаций с Заказчиком.</w:t>
      </w:r>
      <w:r/>
    </w:p>
    <w:p>
      <w:pPr>
        <w:jc w:val="both"/>
        <w:rPr>
          <w:rFonts w:eastAsiaTheme="minorHAnsi"/>
          <w:b/>
        </w:rPr>
      </w:pPr>
      <w:r>
        <w:rPr>
          <w:rFonts w:eastAsiaTheme="minorHAnsi"/>
          <w:b/>
          <w:lang w:eastAsia="en-US"/>
        </w:rPr>
        <w:t xml:space="preserve">4. ТРЕБОВАНИЯ К ПОРЯДКУ ФОРМИРОВАНИЯ КОММЕРЧЕСКОГО ПРЕДЛОЖЕНИЯ УЧАСТНИКА ЗАКУПКИ, ОБОСНОВАНИЮ ЦЕНЫ, РАСЧЕТОВ</w:t>
      </w:r>
      <w:r>
        <w:rPr>
          <w:rFonts w:eastAsiaTheme="minorHAnsi"/>
          <w:b/>
          <w:color w:val="000000"/>
          <w:lang w:eastAsia="en-US"/>
        </w:rPr>
        <w:t xml:space="preserve">.</w:t>
      </w:r>
      <w:r>
        <w:rPr>
          <w:rFonts w:eastAsiaTheme="minorHAnsi"/>
          <w:b/>
        </w:rPr>
      </w:r>
      <w:r>
        <w:rPr>
          <w:rFonts w:eastAsiaTheme="minorHAnsi"/>
          <w:b/>
        </w:rPr>
      </w:r>
    </w:p>
    <w:p>
      <w:pPr>
        <w:jc w:val="both"/>
        <w:rPr>
          <w:iCs/>
        </w:rPr>
      </w:pPr>
      <w:r>
        <w:rPr>
          <w:iCs/>
        </w:rPr>
        <w:t xml:space="preserve">4.1. Заказчик в составе Закупочной документации предоставляет утвержденные локальные сметные расчеты в формате ГРАНД и редактируемом формате Excel, являющиеся неотъемлемой частью настоящего ТЗ (Приложение 6). </w:t>
      </w:r>
      <w:r>
        <w:rPr>
          <w:iCs/>
        </w:rPr>
      </w:r>
      <w:r>
        <w:rPr>
          <w:iCs/>
        </w:rPr>
      </w:r>
    </w:p>
    <w:p>
      <w:pPr>
        <w:jc w:val="both"/>
        <w:rPr>
          <w:iCs/>
        </w:rPr>
      </w:pPr>
      <w:r>
        <w:rPr>
          <w:iCs/>
        </w:rPr>
        <w:t xml:space="preserve">4.2. Объемы работ, расценки, формирующие стоим</w:t>
      </w:r>
      <w:r>
        <w:rPr>
          <w:iCs/>
        </w:rPr>
        <w:t xml:space="preserve">ость работ в объеме настоящего ТЗ, являются фиксированными и изменению не подлежат.</w:t>
      </w:r>
      <w:r>
        <w:rPr>
          <w:iCs/>
        </w:rPr>
      </w:r>
      <w:r>
        <w:rPr>
          <w:iCs/>
        </w:rPr>
      </w:r>
    </w:p>
    <w:p>
      <w:pPr>
        <w:ind w:firstLine="426"/>
        <w:jc w:val="both"/>
        <w:rPr>
          <w:iCs/>
        </w:rPr>
      </w:pPr>
      <w:r>
        <w:rPr>
          <w:iCs/>
        </w:rPr>
        <w:t xml:space="preserve">Победитель принимает представленные Заказчиком сметные расчеты. Предельная (начальная) стоимость работ корректируется применением к утвержденным сметным расчетам коэффициен</w:t>
      </w:r>
      <w:r>
        <w:rPr>
          <w:iCs/>
        </w:rPr>
        <w:t xml:space="preserve">та тендерного снижения. </w:t>
      </w:r>
      <w:r>
        <w:rPr>
          <w:iCs/>
        </w:rPr>
      </w:r>
      <w:r>
        <w:rPr>
          <w:iCs/>
        </w:rPr>
      </w:r>
    </w:p>
    <w:p>
      <w:pPr>
        <w:jc w:val="both"/>
        <w:rPr>
          <w:iCs/>
        </w:rPr>
      </w:pPr>
      <w:r>
        <w:rPr>
          <w:iCs/>
        </w:rPr>
        <w:t xml:space="preserve">4.3. Сметные расчеты предоставляются Победителем до заключения договора (в течение трех дней после публикации протокола по выбору Победителя). Подрядчик обязан предоставить сметную документацию в формате *excel, а также в формате Г</w:t>
      </w:r>
      <w:r>
        <w:rPr>
          <w:iCs/>
        </w:rPr>
        <w:t xml:space="preserve">ранд в соответствии с рекомендациями (Приложение 7). </w:t>
      </w:r>
      <w:r>
        <w:rPr>
          <w:iCs/>
        </w:rPr>
      </w:r>
      <w:r>
        <w:rPr>
          <w:iCs/>
        </w:rPr>
      </w:r>
    </w:p>
    <w:p>
      <w:pPr>
        <w:jc w:val="both"/>
        <w:rPr>
          <w:iCs/>
        </w:rPr>
      </w:pPr>
      <w:r>
        <w:rPr>
          <w:iCs/>
        </w:rPr>
        <w:t xml:space="preserve">4.4. Участник в составе предложения предоставляет согласие с опубликованной сметной документацией по форме Закупочной документации. При этом принятие смет Заказчика не освобождает Подрядчика от ответственности за формирование качественной сметной до</w:t>
      </w:r>
      <w:r>
        <w:rPr>
          <w:iCs/>
        </w:rPr>
        <w:t xml:space="preserve">кументации и ее соответствие выполняемым работам на стадии реализации мероприятий. Все работы, неучтенные Подрядчиком, но необходимые для исполнения работ по Техническому заданию, выполняются силами и за счет Подрядчика. </w:t>
      </w:r>
      <w:r>
        <w:rPr>
          <w:iCs/>
        </w:rPr>
      </w:r>
      <w:r>
        <w:rPr>
          <w:iCs/>
        </w:rPr>
      </w:r>
    </w:p>
    <w:p>
      <w:pPr>
        <w:jc w:val="both"/>
        <w:rPr>
          <w:iCs/>
        </w:rPr>
      </w:pPr>
      <w:r>
        <w:rPr>
          <w:iCs/>
        </w:rPr>
        <w:t xml:space="preserve">4.5. Договор на выполнение работ в</w:t>
      </w:r>
      <w:r>
        <w:rPr>
          <w:iCs/>
        </w:rPr>
        <w:t xml:space="preserve"> объеме настоящего ТЗ заключается по итогам проведенной закупочной процедуры после согласования смет Заказчиком. При этом цена договора определяется сметой и не может превышать стоимость заявки Победителя, указанной в письме о подаче оферты.</w:t>
      </w:r>
      <w:r>
        <w:rPr>
          <w:iCs/>
        </w:rPr>
      </w:r>
      <w:r>
        <w:rPr>
          <w:iCs/>
        </w:rPr>
      </w:r>
    </w:p>
    <w:p>
      <w:pPr>
        <w:jc w:val="both"/>
        <w:rPr>
          <w:iCs/>
        </w:rPr>
      </w:pPr>
      <w:r>
        <w:rPr>
          <w:iCs/>
        </w:rPr>
        <w:t xml:space="preserve">4.6. После утв</w:t>
      </w:r>
      <w:r>
        <w:rPr>
          <w:iCs/>
        </w:rPr>
        <w:t xml:space="preserve">ерждения смет Заказчиком величина затрат Подрядчика на выполнение работ в объеме настоящего технического задания становится фиксированной и увеличению в процессе выполнения договора не подлежит, даже если окажется, что в смете Подрядчик учел не все свои за</w:t>
      </w:r>
      <w:r>
        <w:rPr>
          <w:iCs/>
        </w:rPr>
        <w:t xml:space="preserve">траты, которые он фактически понес при выполнении данных работ.</w:t>
      </w:r>
      <w:r>
        <w:rPr>
          <w:iCs/>
        </w:rPr>
      </w:r>
      <w:r>
        <w:rPr>
          <w:iCs/>
        </w:rPr>
      </w:r>
    </w:p>
    <w:p>
      <w:pPr>
        <w:jc w:val="both"/>
        <w:rPr>
          <w:iCs/>
        </w:rPr>
      </w:pPr>
      <w:r>
        <w:rPr>
          <w:iCs/>
        </w:rPr>
        <w:t xml:space="preserve">4.7. При необходимости, на стадии подготовки сметных расчетов к договору, в рамках итоговой стоимости работ, полученной по результатам проведенной закупки, Подрядчик имеет право внести коррект</w:t>
      </w:r>
      <w:r>
        <w:rPr>
          <w:iCs/>
        </w:rPr>
        <w:t xml:space="preserve">ировки в части изменения стоимости МТР, учтенных в сметной документации по текущим ценам, в соответствии с их актуальной рыночной стоимостью, а также включения командировочных расходов.</w:t>
      </w:r>
      <w:r>
        <w:rPr>
          <w:iCs/>
        </w:rPr>
      </w:r>
      <w:r>
        <w:rPr>
          <w:iCs/>
        </w:rPr>
      </w:r>
    </w:p>
    <w:p>
      <w:pPr>
        <w:jc w:val="both"/>
        <w:rPr>
          <w:iCs/>
        </w:rPr>
      </w:pPr>
      <w:r>
        <w:rPr>
          <w:iCs/>
        </w:rPr>
        <w:t xml:space="preserve">4.8. Порядок расчетов определяется условиями договора.</w:t>
      </w:r>
      <w:r>
        <w:rPr>
          <w:iCs/>
        </w:rPr>
      </w:r>
      <w:r>
        <w:rPr>
          <w:iCs/>
        </w:rPr>
      </w:r>
    </w:p>
    <w:p>
      <w:pPr>
        <w:shd w:val="clear" w:color="auto" w:fill="ffffff"/>
        <w:tabs>
          <w:tab w:val="left" w:pos="374" w:leader="none"/>
        </w:tabs>
        <w:rPr>
          <w:bCs/>
          <w:color w:val="000000"/>
          <w:spacing w:val="-1"/>
          <w:sz w:val="36"/>
          <w:szCs w:val="28"/>
        </w:rPr>
      </w:pPr>
      <w:r>
        <w:rPr>
          <w:b/>
        </w:rPr>
        <w:t xml:space="preserve">5. </w:t>
      </w:r>
      <w:r>
        <w:rPr>
          <w:b/>
          <w:sz w:val="28"/>
          <w:szCs w:val="28"/>
        </w:rPr>
        <w:t xml:space="preserve">Требования к</w:t>
      </w:r>
      <w:r>
        <w:rPr>
          <w:b/>
          <w:sz w:val="28"/>
          <w:szCs w:val="28"/>
        </w:rPr>
        <w:t xml:space="preserve"> участникам закупки</w:t>
      </w:r>
      <w:r>
        <w:rPr>
          <w:bCs/>
          <w:color w:val="000000"/>
          <w:spacing w:val="-1"/>
          <w:sz w:val="36"/>
          <w:szCs w:val="28"/>
        </w:rPr>
      </w:r>
      <w:r>
        <w:rPr>
          <w:bCs/>
          <w:color w:val="000000"/>
          <w:spacing w:val="-1"/>
          <w:sz w:val="36"/>
          <w:szCs w:val="28"/>
        </w:rPr>
      </w:r>
    </w:p>
    <w:p>
      <w:pPr>
        <w:jc w:val="both"/>
        <w:rPr>
          <w:b/>
        </w:rPr>
      </w:pPr>
      <w:r>
        <w:rPr>
          <w:b/>
        </w:rPr>
        <w:t xml:space="preserve">5.1.Требования о наличии кадровых ресурсов и их квалификации</w:t>
      </w:r>
      <w:r>
        <w:rPr>
          <w:b/>
        </w:rPr>
      </w:r>
      <w:r>
        <w:rPr>
          <w:b/>
        </w:rPr>
      </w:r>
    </w:p>
    <w:p>
      <w:pPr>
        <w:pStyle w:val="983"/>
        <w:ind w:right="180" w:firstLine="0"/>
        <w:jc w:val="both"/>
        <w:spacing w:before="0" w:after="0" w:line="240" w:lineRule="auto"/>
        <w:shd w:val="clear" w:color="auto" w:fill="auto"/>
        <w:tabs>
          <w:tab w:val="left" w:pos="663" w:leader="none"/>
        </w:tabs>
        <w:rPr>
          <w:sz w:val="24"/>
          <w:szCs w:val="22"/>
        </w:rPr>
      </w:pPr>
      <w:r>
        <w:rPr>
          <w:sz w:val="24"/>
          <w:szCs w:val="24"/>
          <w:shd w:val="clear" w:color="auto" w:fill="auto"/>
        </w:rPr>
        <w:t xml:space="preserve">Участник закупки должен предоставить</w:t>
      </w:r>
      <w:r>
        <w:rPr>
          <w:sz w:val="24"/>
          <w:szCs w:val="24"/>
          <w:shd w:val="clear" w:color="auto" w:fill="auto"/>
        </w:rPr>
        <w:t xml:space="preserve"> в составе своего предложения справку о кадровых ресурсах по форме, указанной в закупочной документации, подтверждающую наличие персонала необходимого для выполнения работ, являющихся предметом закупки, не менее чем:</w:t>
      </w:r>
      <w:r>
        <w:rPr>
          <w:sz w:val="24"/>
          <w:szCs w:val="22"/>
        </w:rPr>
        <w:tab/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983"/>
        <w:numPr>
          <w:ilvl w:val="0"/>
          <w:numId w:val="19"/>
        </w:numPr>
        <w:ind w:left="820" w:right="180"/>
        <w:jc w:val="both"/>
        <w:spacing w:before="0" w:after="0" w:line="240" w:lineRule="auto"/>
        <w:shd w:val="clear" w:color="auto" w:fill="auto"/>
        <w:tabs>
          <w:tab w:val="left" w:pos="833" w:leader="none"/>
        </w:tabs>
        <w:rPr>
          <w:sz w:val="24"/>
          <w:szCs w:val="22"/>
        </w:rPr>
      </w:pPr>
      <w:r>
        <w:rPr>
          <w:sz w:val="24"/>
          <w:szCs w:val="22"/>
        </w:rPr>
        <w:t xml:space="preserve">Мастер - 1 человек;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rPr>
          <w:szCs w:val="22"/>
        </w:rPr>
      </w:pPr>
      <w:r>
        <w:rPr>
          <w:szCs w:val="22"/>
        </w:rPr>
        <w:t xml:space="preserve">        -    Маляр</w:t>
      </w:r>
      <w:r>
        <w:rPr>
          <w:szCs w:val="22"/>
        </w:rPr>
        <w:t xml:space="preserve">  - 2 человек.</w:t>
      </w:r>
      <w:r>
        <w:rPr>
          <w:szCs w:val="22"/>
        </w:rPr>
      </w:r>
      <w:r>
        <w:rPr>
          <w:szCs w:val="22"/>
        </w:rPr>
      </w:r>
    </w:p>
    <w:p>
      <w:pPr>
        <w:jc w:val="both"/>
        <w:rPr>
          <w:b/>
        </w:rPr>
      </w:pPr>
      <w:r>
        <w:rPr>
          <w:b/>
        </w:rPr>
        <w:t xml:space="preserve">5.2  Требования о наличии материально-технических ресурсов </w:t>
      </w:r>
      <w:r>
        <w:rPr>
          <w:b/>
        </w:rPr>
      </w:r>
      <w:r>
        <w:rPr>
          <w:b/>
        </w:rPr>
      </w:r>
    </w:p>
    <w:p>
      <w:pPr>
        <w:jc w:val="both"/>
        <w:spacing w:line="276" w:lineRule="auto"/>
      </w:pPr>
      <w:r>
        <w:t xml:space="preserve">Участник закупки </w:t>
      </w:r>
      <w:r>
        <w:t xml:space="preserve">должен предоставить</w:t>
      </w:r>
      <w:r>
        <w:t xml:space="preserve"> в составе своего предложения справку о материально-технических ресурсах по форме, указанной в закупочной документации, подтверждающую наличие:</w:t>
      </w:r>
      <w:r/>
    </w:p>
    <w:p>
      <w:pPr>
        <w:numPr>
          <w:ilvl w:val="0"/>
          <w:numId w:val="20"/>
        </w:numPr>
        <w:rPr>
          <w:szCs w:val="22"/>
          <w:highlight w:val="white"/>
        </w:rPr>
      </w:pPr>
      <w:r>
        <w:rPr>
          <w:szCs w:val="22"/>
        </w:rPr>
        <w:t xml:space="preserve">Углошлифоваль</w:t>
      </w:r>
      <w:r>
        <w:rPr>
          <w:szCs w:val="22"/>
          <w:highlight w:val="white"/>
        </w:rPr>
        <w:t xml:space="preserve">ная машинка–</w:t>
      </w:r>
      <w:r>
        <w:rPr>
          <w:szCs w:val="22"/>
        </w:rPr>
        <w:t xml:space="preserve"> 2  </w:t>
      </w:r>
      <w:r>
        <w:rPr>
          <w:szCs w:val="22"/>
          <w:highlight w:val="white"/>
        </w:rPr>
        <w:t xml:space="preserve">шт.</w:t>
      </w:r>
      <w:r>
        <w:rPr>
          <w:szCs w:val="22"/>
          <w:highlight w:val="white"/>
        </w:rPr>
      </w:r>
      <w:r>
        <w:rPr>
          <w:szCs w:val="22"/>
          <w:highlight w:val="white"/>
        </w:rPr>
      </w:r>
    </w:p>
    <w:p>
      <w:pPr>
        <w:numPr>
          <w:ilvl w:val="0"/>
          <w:numId w:val="26"/>
        </w:numPr>
        <w:rPr>
          <w:color w:val="000000"/>
          <w:spacing w:val="4"/>
          <w:szCs w:val="22"/>
          <w:highlight w:val="white"/>
        </w:rPr>
      </w:pPr>
      <w:r>
        <w:rPr>
          <w:szCs w:val="22"/>
          <w:highlight w:val="white"/>
        </w:rPr>
        <w:t xml:space="preserve">Слесарный инструмент - 1 комплект; </w:t>
      </w:r>
      <w:r>
        <w:rPr>
          <w:color w:val="000000"/>
          <w:spacing w:val="4"/>
          <w:szCs w:val="22"/>
          <w:highlight w:val="white"/>
        </w:rPr>
      </w:r>
      <w:r>
        <w:rPr>
          <w:color w:val="000000"/>
          <w:spacing w:val="4"/>
          <w:szCs w:val="22"/>
          <w:highlight w:val="white"/>
        </w:rPr>
      </w:r>
    </w:p>
    <w:p>
      <w:pPr>
        <w:numPr>
          <w:ilvl w:val="0"/>
          <w:numId w:val="26"/>
        </w:numPr>
        <w:rPr>
          <w:color w:val="000000"/>
          <w:spacing w:val="4"/>
          <w:szCs w:val="22"/>
          <w:highlight w:val="white"/>
        </w:rPr>
      </w:pPr>
      <w:r>
        <w:rPr>
          <w:szCs w:val="22"/>
          <w:highlight w:val="white"/>
        </w:rPr>
        <w:t xml:space="preserve">Установку для нанесения лакокрасочного покрытия -1 шт.;</w:t>
      </w:r>
      <w:r>
        <w:rPr>
          <w:color w:val="000000"/>
          <w:spacing w:val="4"/>
          <w:szCs w:val="22"/>
          <w:highlight w:val="white"/>
        </w:rPr>
      </w:r>
      <w:r>
        <w:rPr>
          <w:color w:val="000000"/>
          <w:spacing w:val="4"/>
          <w:szCs w:val="22"/>
          <w:highlight w:val="white"/>
        </w:rPr>
      </w:r>
    </w:p>
    <w:p>
      <w:pPr>
        <w:numPr>
          <w:ilvl w:val="0"/>
          <w:numId w:val="26"/>
        </w:numPr>
        <w:contextualSpacing/>
        <w:jc w:val="both"/>
        <w:spacing w:line="264" w:lineRule="auto"/>
        <w:rPr>
          <w:rFonts w:eastAsiaTheme="minorHAnsi"/>
          <w:highlight w:val="white"/>
        </w:rPr>
      </w:pPr>
      <w:r>
        <w:rPr>
          <w:rFonts w:eastAsiaTheme="minorHAnsi"/>
          <w:highlight w:val="white"/>
          <w:lang w:eastAsia="en-US"/>
        </w:rPr>
        <w:t xml:space="preserve">СИЗ (альпинистское снаряжение и система канатного доступа) для работ на высоте – 2 комплекта;</w:t>
      </w:r>
      <w:r>
        <w:rPr>
          <w:rFonts w:eastAsiaTheme="minorHAnsi"/>
          <w:highlight w:val="white"/>
        </w:rPr>
      </w:r>
      <w:r>
        <w:rPr>
          <w:rFonts w:eastAsiaTheme="minorHAnsi"/>
          <w:highlight w:val="white"/>
        </w:rPr>
      </w:r>
    </w:p>
    <w:p>
      <w:pPr>
        <w:numPr>
          <w:ilvl w:val="0"/>
          <w:numId w:val="26"/>
        </w:numPr>
        <w:contextualSpacing/>
        <w:jc w:val="both"/>
        <w:spacing w:line="264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Леса строительные не менее – 240м</w:t>
      </w:r>
      <w:r>
        <w:rPr>
          <w:rFonts w:eastAsiaTheme="minorHAnsi"/>
          <w:vertAlign w:val="superscript"/>
          <w:lang w:eastAsia="en-US"/>
        </w:rPr>
        <w:t xml:space="preserve">2</w:t>
      </w:r>
      <w:r>
        <w:rPr>
          <w:rFonts w:eastAsiaTheme="minorHAnsi"/>
          <w:lang w:eastAsia="en-US"/>
        </w:rPr>
        <w:t xml:space="preserve">;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pStyle w:val="960"/>
        <w:numPr>
          <w:ilvl w:val="1"/>
          <w:numId w:val="41"/>
        </w:numPr>
        <w:jc w:val="both"/>
        <w:spacing w:line="23" w:lineRule="atLeast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 </w:t>
      </w:r>
      <w:r>
        <w:rPr>
          <w:rFonts w:eastAsiaTheme="minorHAnsi"/>
          <w:b/>
          <w:lang w:eastAsia="en-US"/>
        </w:rPr>
        <w:t xml:space="preserve">  Требования о наличии аттестованных технологий сварки</w:t>
      </w:r>
      <w:r>
        <w:rPr>
          <w:rFonts w:eastAsiaTheme="minorHAnsi"/>
          <w:b/>
          <w:lang w:eastAsia="en-US"/>
        </w:rPr>
      </w:r>
      <w:r>
        <w:rPr>
          <w:rFonts w:eastAsiaTheme="minorHAnsi"/>
          <w:b/>
          <w:lang w:eastAsia="en-US"/>
        </w:rPr>
      </w:r>
    </w:p>
    <w:p>
      <w:pPr>
        <w:jc w:val="both"/>
        <w:rPr>
          <w:rFonts w:eastAsiaTheme="minorHAnsi"/>
          <w:lang w:eastAsia="en-US"/>
        </w:rPr>
      </w:pPr>
      <w:r>
        <w:t xml:space="preserve">Не требуется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rPr>
          <w:b/>
        </w:rPr>
      </w:pPr>
      <w:r>
        <w:rPr>
          <w:b/>
        </w:rPr>
        <w:t xml:space="preserve">5.4 Требования к измерительным приборам и инструментам</w:t>
      </w:r>
      <w:r>
        <w:rPr>
          <w:b/>
        </w:rPr>
      </w:r>
      <w:r>
        <w:rPr>
          <w:b/>
        </w:rPr>
      </w:r>
    </w:p>
    <w:p>
      <w:pPr>
        <w:jc w:val="both"/>
        <w:rPr>
          <w:rFonts w:eastAsiaTheme="minorHAnsi"/>
          <w:lang w:eastAsia="en-US"/>
        </w:rPr>
      </w:pPr>
      <w:r/>
      <w:bookmarkStart w:id="4" w:name="_Hlk156376403"/>
      <w:r>
        <w:t xml:space="preserve">Не требуется</w:t>
      </w:r>
      <w:bookmarkEnd w:id="4"/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rPr>
          <w:b/>
        </w:rPr>
      </w:pPr>
      <w:r>
        <w:rPr>
          <w:b/>
        </w:rPr>
        <w:t xml:space="preserve">5.5 Требования о наличии действующих разрешений, аттестаций, свидетельств СРО, лицензий</w:t>
      </w:r>
      <w:r>
        <w:rPr>
          <w:b/>
        </w:rPr>
      </w:r>
      <w:r>
        <w:rPr>
          <w:b/>
        </w:rPr>
      </w:r>
    </w:p>
    <w:p>
      <w:pPr>
        <w:jc w:val="both"/>
      </w:pPr>
      <w:r>
        <w:t xml:space="preserve">Не устанавливаются</w:t>
      </w:r>
      <w:r/>
    </w:p>
    <w:p>
      <w:pPr>
        <w:jc w:val="both"/>
        <w:rPr>
          <w:szCs w:val="22"/>
        </w:rPr>
      </w:pPr>
      <w:r>
        <w:rPr>
          <w:b/>
        </w:rPr>
        <w:t xml:space="preserve">5.6 Требовани</w:t>
      </w:r>
      <w:r>
        <w:rPr>
          <w:b/>
        </w:rPr>
        <w:t xml:space="preserve">я о наличии сертифицированных систем менеджмента</w:t>
      </w:r>
      <w:r>
        <w:rPr>
          <w:szCs w:val="22"/>
        </w:rPr>
      </w:r>
      <w:r>
        <w:rPr>
          <w:szCs w:val="22"/>
        </w:rPr>
      </w:r>
    </w:p>
    <w:p>
      <w:pPr>
        <w:ind w:firstLine="426"/>
        <w:jc w:val="both"/>
      </w:pPr>
      <w:r/>
      <w:r>
        <w:t xml:space="preserve">Желательно предоставление Участником</w:t>
      </w:r>
      <w:r>
        <w:t xml:space="preserve"> закупки в составе своего предложения копий сертификатов, подтверждающих</w:t>
      </w:r>
      <w:r>
        <w:t xml:space="preserve"> наличие у него системы менеджмента качества, действующей в соответствии с законодательными и нормативными актами РФ (ИСО 9001), действующих систем менеджмента промышленной безопасности и охраны труда (</w:t>
      </w:r>
      <w:r>
        <w:rPr>
          <w:lang w:val="en-US"/>
        </w:rPr>
        <w:t xml:space="preserve">OHSAS</w:t>
      </w:r>
      <w:r>
        <w:t xml:space="preserve"> 18001), экологического менеджмента (</w:t>
      </w:r>
      <w:r>
        <w:rPr>
          <w:lang w:val="en-US"/>
        </w:rPr>
        <w:t xml:space="preserve">ISO</w:t>
      </w:r>
      <w:r>
        <w:t xml:space="preserve"> 14001), </w:t>
      </w:r>
      <w:r>
        <w:t xml:space="preserve">энергетического менеджмента (ISO 50001/ГОСТ Р ИСО 50001) и других. </w:t>
      </w:r>
      <w:r/>
    </w:p>
    <w:p>
      <w:pPr>
        <w:jc w:val="both"/>
      </w:pPr>
      <w:r/>
      <w:r/>
    </w:p>
    <w:p>
      <w:pPr>
        <w:jc w:val="both"/>
        <w:rPr>
          <w:b/>
        </w:rPr>
      </w:pPr>
      <w:r>
        <w:rPr>
          <w:b/>
        </w:rPr>
        <w:t xml:space="preserve">5.7 Требования о наличии аккредитации в Группе «Интер РАО»</w:t>
      </w:r>
      <w:r>
        <w:rPr>
          <w:b/>
        </w:rPr>
      </w:r>
      <w:r>
        <w:rPr>
          <w:b/>
        </w:rPr>
      </w:r>
    </w:p>
    <w:p>
      <w:pPr>
        <w:ind w:firstLine="426"/>
        <w:jc w:val="both"/>
      </w:pPr>
      <w:r>
        <w:t xml:space="preserve">   </w:t>
      </w:r>
      <w:r>
        <w:t xml:space="preserve">В случае, если Участник закупки является аккредитованным лицом в рамках системы добровольной аккредитации в Группе «Интер РАО», то такой Участник в составе своего предложения предоставляет копии действующих Свидетельств об аккредитации в Группе «Интер РАО</w:t>
      </w:r>
      <w:r>
        <w:rPr>
          <w:rFonts w:ascii="Arial" w:hAnsi="Arial" w:eastAsia="Arial" w:cs="Arial"/>
          <w:color w:val="444444"/>
          <w:sz w:val="18"/>
          <w:highlight w:val="white"/>
        </w:rPr>
        <w:t xml:space="preserve">»</w:t>
      </w:r>
      <w:r>
        <w:t xml:space="preserve">, по следующим видам деятельности: </w:t>
      </w:r>
      <w:r>
        <w:rPr>
          <w:color w:val="000000"/>
        </w:rPr>
        <w:t xml:space="preserve">работы по нанесению антикоррозийной защиты.</w:t>
      </w:r>
      <w:r/>
    </w:p>
    <w:p>
      <w:pPr>
        <w:jc w:val="both"/>
      </w:pPr>
      <w:r>
        <w:t xml:space="preserve">    </w:t>
      </w:r>
      <w:r/>
    </w:p>
    <w:p>
      <w:pPr>
        <w:jc w:val="both"/>
      </w:pPr>
      <w:r>
        <w:rPr>
          <w:b/>
        </w:rPr>
        <w:t xml:space="preserve">5.8 Требования к опыту выполнения аналогичных работ</w:t>
      </w:r>
      <w:r/>
    </w:p>
    <w:p>
      <w:pPr>
        <w:jc w:val="both"/>
        <w:rPr>
          <w:b/>
        </w:rPr>
      </w:pPr>
      <w:r>
        <w:t xml:space="preserve">        Участник закупки </w:t>
      </w:r>
      <w:r>
        <w:t xml:space="preserve">должен предоставить</w:t>
      </w:r>
      <w:r>
        <w:t xml:space="preserve"> в составе своего предложения </w:t>
      </w:r>
      <w:r>
        <w:t xml:space="preserve">справку о перечне и объемах выполнения</w:t>
      </w:r>
      <w:r>
        <w:rPr>
          <w:sz w:val="16"/>
          <w:szCs w:val="16"/>
        </w:rPr>
        <w:t xml:space="preserve"> </w:t>
      </w:r>
      <w:r>
        <w:t xml:space="preserve">аналогичных договоров по форме, указанной в  закупочной документации, подтверждающую наличие у него опыта по восстановлению ЛКП в количестве не менее 3 исполненных договоров за последние пять лет, предшествующих дате </w:t>
      </w:r>
      <w:r>
        <w:t xml:space="preserve">подачи заявки на участие в данной закупке</w:t>
      </w:r>
      <w:r>
        <w:rPr>
          <w:b/>
        </w:rPr>
      </w:r>
      <w:r>
        <w:rPr>
          <w:b/>
        </w:rPr>
      </w:r>
    </w:p>
    <w:p>
      <w:pPr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5.9. Требования к субподрядным организациям </w:t>
      </w:r>
      <w:r>
        <w:rPr>
          <w:rFonts w:eastAsiaTheme="minorHAnsi"/>
          <w:b/>
          <w:lang w:eastAsia="en-US"/>
        </w:rPr>
      </w:r>
      <w:r>
        <w:rPr>
          <w:rFonts w:eastAsiaTheme="minorHAnsi"/>
          <w:b/>
          <w:lang w:eastAsia="en-US"/>
        </w:rPr>
      </w:r>
    </w:p>
    <w:p>
      <w:pPr>
        <w:ind w:firstLine="426"/>
        <w:jc w:val="both"/>
        <w:rPr>
          <w:rFonts w:eastAsiaTheme="minorHAnsi"/>
          <w:lang w:eastAsia="en-US"/>
        </w:rPr>
      </w:pPr>
      <w:r>
        <w:t xml:space="preserve">Требования, указанные в пунктах 5.1-5.4, 5.6-5.9 настоящего Технического задания, применимы к привлекаемым Участниками Субподрядчикам в объеме поручаемых им работ соглас</w:t>
      </w:r>
      <w:r>
        <w:t xml:space="preserve">но Плану распределения работ между генеральным Подрядчиком и субподрядными организациями. Документы, подтверждающие соответствие Субподрядчика данным требованиям, должны представляться в составе заявки Участника.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rPr>
          <w:b/>
        </w:rPr>
      </w:pPr>
      <w:r>
        <w:rPr>
          <w:b/>
        </w:rPr>
        <w:t xml:space="preserve">6. ПРИЛОЖЕНИЯ</w:t>
      </w:r>
      <w:r>
        <w:rPr>
          <w:b/>
        </w:rPr>
      </w:r>
      <w:r>
        <w:rPr>
          <w:b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1. Заключений экспертизы промышленной безопасности от 25.03.2024   № ЭПБ-0747/ТУ-2024   по результатам экспертизы промышленной безопасности на техническое устройство  Кран мостовой электрич</w:t>
      </w:r>
      <w:r>
        <w:rPr>
          <w:rFonts w:ascii="Liberation Serif" w:hAnsi="Liberation Serif" w:eastAsia="Liberation Serif" w:cs="Liberation Serif"/>
        </w:rPr>
        <w:t xml:space="preserve">еский уч.(рег.) № 22918.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2. Заключений экспертизы промышленной безопасности от 25.03.2024  № ЭПБ-0746/ТУ-2024   по результатам экспертизы промышленной безопасности на техническое устройство Кран мостовой электрический уч.(рег.) № 43150, зав. № 216;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3.  </w:t>
      </w:r>
      <w:r>
        <w:rPr>
          <w:rFonts w:ascii="Liberation Serif" w:hAnsi="Liberation Serif" w:eastAsia="Liberation Serif" w:cs="Liberation Serif"/>
        </w:rPr>
        <w:t xml:space="preserve">Ведомость планируемых объемов работ</w:t>
      </w:r>
      <w:r>
        <w:rPr>
          <w:rFonts w:ascii="Liberation Serif" w:hAnsi="Liberation Serif" w:eastAsia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  <w:highlight w:val="none"/>
        </w:rPr>
      </w:pPr>
      <w:r>
        <w:rPr>
          <w:rFonts w:ascii="Liberation Serif" w:hAnsi="Liberation Serif" w:eastAsia="Liberation Serif" w:cs="Liberation Serif"/>
        </w:rPr>
        <w:t xml:space="preserve">4.</w:t>
      </w:r>
      <w:r>
        <w:rPr>
          <w:rFonts w:ascii="Liberation Serif" w:hAnsi="Liberation Serif" w:eastAsia="Liberation Serif" w:cs="Liberation Serif"/>
          <w:b w:val="0"/>
          <w:bCs w:val="0"/>
          <w:sz w:val="24"/>
          <w:szCs w:val="24"/>
          <w:highlight w:val="none"/>
        </w:rPr>
        <w:t xml:space="preserve">«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</w:rPr>
        <w:t xml:space="preserve">Порядок 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</w:rPr>
        <w:t xml:space="preserve">допуска к работам на территории, в производственных подразделениях, на оборудовании, зданиях и сооружениях филиалов АО «Интер РАО – Электрогенерация»», </w:t>
      </w:r>
      <w:r>
        <w:rPr>
          <w:rFonts w:ascii="Liberation Serif" w:hAnsi="Liberation Serif" w:eastAsia="Liberation Serif" w:cs="Liberation Serif"/>
          <w:color w:val="000000"/>
          <w:spacing w:val="2"/>
          <w:sz w:val="24"/>
          <w:szCs w:val="24"/>
        </w:rPr>
        <w:t xml:space="preserve">Письмо о допуске к работам, </w:t>
      </w:r>
      <w:r>
        <w:rPr>
          <w:rFonts w:ascii="Liberation Serif" w:hAnsi="Liberation Serif" w:eastAsia="Liberation Serif" w:cs="Liberation Serif"/>
          <w:color w:val="000000"/>
          <w:spacing w:val="2"/>
          <w:sz w:val="24"/>
          <w:szCs w:val="24"/>
        </w:rPr>
        <w:t xml:space="preserve">Форма перечня факторов Приказ Минтруда (Образец), </w:t>
      </w:r>
      <w:r>
        <w:rPr>
          <w:rFonts w:ascii="Liberation Serif" w:hAnsi="Liberation Serif" w:eastAsia="Liberation Serif" w:cs="Liberation Serif"/>
          <w:color w:val="000000"/>
          <w:spacing w:val="2"/>
          <w:sz w:val="24"/>
          <w:szCs w:val="24"/>
        </w:rPr>
        <w:t xml:space="preserve">ГОСТ 12.0.230.5-2018</w:t>
      </w:r>
      <w:r>
        <w:rPr>
          <w:rFonts w:ascii="Liberation Serif" w:hAnsi="Liberation Serif" w:eastAsia="Liberation Serif" w:cs="Liberation Serif"/>
          <w:color w:val="000000"/>
          <w:spacing w:val="2"/>
          <w:sz w:val="24"/>
          <w:szCs w:val="24"/>
        </w:rPr>
        <w:t xml:space="preserve">, 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Приказ Министерства труда 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и социальной защиты 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Российской Федерации 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от 28 декабря 2021 года N 796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.</w:t>
      </w:r>
      <w:r>
        <w:rPr>
          <w:rFonts w:ascii="Liberation Serif" w:hAnsi="Liberation Serif" w:cs="Liberation Serif"/>
          <w:highlight w:val="none"/>
        </w:rPr>
      </w:r>
      <w:r>
        <w:rPr>
          <w:rFonts w:ascii="Liberation Serif" w:hAnsi="Liberation Serif" w:cs="Liberation Serif"/>
          <w:highlight w:val="none"/>
        </w:rPr>
      </w:r>
    </w:p>
    <w:p>
      <w:pPr>
        <w:jc w:val="both"/>
        <w:rPr>
          <w:rFonts w:ascii="Liberation Serif" w:hAnsi="Liberation Serif" w:cs="Liberation Serif"/>
          <w:highlight w:val="white"/>
        </w:rPr>
      </w:pPr>
      <w:r>
        <w:rPr>
          <w:rFonts w:ascii="Liberation Serif" w:hAnsi="Liberation Serif" w:eastAsia="Liberation Serif" w:cs="Liberation Serif"/>
          <w:highlight w:val="none"/>
        </w:rPr>
        <w:t xml:space="preserve">5.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Требования по охране труда, промышленной и пожарной безопасности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.</w:t>
      </w:r>
      <w:r>
        <w:rPr>
          <w:rFonts w:ascii="Liberation Serif" w:hAnsi="Liberation Serif" w:cs="Liberation Serif"/>
          <w:highlight w:val="white"/>
        </w:rPr>
      </w:r>
      <w:r>
        <w:rPr>
          <w:rFonts w:ascii="Liberation Serif" w:hAnsi="Liberation Serif" w:cs="Liberation Serif"/>
          <w:highlight w:val="white"/>
        </w:rPr>
      </w:r>
    </w:p>
    <w:p>
      <w:pPr>
        <w:jc w:val="both"/>
        <w:rPr>
          <w:rFonts w:ascii="Liberation Serif" w:hAnsi="Liberation Serif" w:cs="Liberation Serif"/>
          <w:highlight w:val="white"/>
        </w:rPr>
      </w:pPr>
      <w:r>
        <w:rPr>
          <w:rFonts w:ascii="Liberation Serif" w:hAnsi="Liberation Serif" w:eastAsia="Liberation Serif" w:cs="Liberation Serif"/>
          <w:highlight w:val="white"/>
        </w:rPr>
        <w:t xml:space="preserve">6</w:t>
      </w:r>
      <w:r>
        <w:rPr>
          <w:rFonts w:ascii="Liberation Serif" w:hAnsi="Liberation Serif" w:eastAsia="Liberation Serif" w:cs="Liberation Serif"/>
          <w:highlight w:val="white"/>
        </w:rPr>
        <w:t xml:space="preserve">. Сметная документация.</w:t>
      </w:r>
      <w:r>
        <w:rPr>
          <w:rFonts w:ascii="Liberation Serif" w:hAnsi="Liberation Serif" w:cs="Liberation Serif"/>
          <w:highlight w:val="white"/>
        </w:rPr>
      </w:r>
      <w:r>
        <w:rPr>
          <w:rFonts w:ascii="Liberation Serif" w:hAnsi="Liberation Serif" w:cs="Liberation Serif"/>
          <w:highlight w:val="white"/>
        </w:rPr>
      </w:r>
    </w:p>
    <w:p>
      <w:pPr>
        <w:rPr>
          <w:rFonts w:ascii="Liberation Serif" w:hAnsi="Liberation Serif" w:cs="Liberation Serif"/>
          <w:b/>
          <w:highlight w:val="white"/>
        </w:rPr>
      </w:pPr>
      <w:r>
        <w:rPr>
          <w:rFonts w:ascii="Liberation Serif" w:hAnsi="Liberation Serif" w:eastAsia="Liberation Serif" w:cs="Liberation Serif"/>
          <w:b w:val="0"/>
          <w:bCs w:val="0"/>
          <w:highlight w:val="none"/>
        </w:rPr>
        <w:t xml:space="preserve">7.</w:t>
      </w:r>
      <w:r>
        <w:rPr>
          <w:rFonts w:ascii="Liberation Serif" w:hAnsi="Liberation Serif" w:eastAsia="Liberation Serif" w:cs="Liberation Serif"/>
          <w:b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Рекомендации по формированию стоимости работ ТОиР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.</w:t>
      </w:r>
      <w:r>
        <w:t xml:space="preserve">       </w:t>
      </w:r>
      <w:r>
        <w:rPr>
          <w:rFonts w:ascii="Liberation Serif" w:hAnsi="Liberation Serif" w:cs="Liberation Serif"/>
          <w:b/>
          <w:highlight w:val="white"/>
        </w:rPr>
      </w:r>
      <w:r>
        <w:rPr>
          <w:rFonts w:ascii="Liberation Serif" w:hAnsi="Liberation Serif" w:cs="Liberation Serif"/>
          <w:b/>
          <w:highlight w:val="white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425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inos">
    <w:panose1 w:val="02020603050405020304"/>
  </w:font>
  <w:font w:name="Symbol">
    <w:panose1 w:val="05010000000000000000"/>
  </w:font>
  <w:font w:name="Tahoma">
    <w:panose1 w:val="020B0604030504040204"/>
  </w:font>
  <w:font w:name="Courier New">
    <w:panose1 w:val="02070409020205020404"/>
  </w:font>
  <w:font w:name="FreeSetCTT">
    <w:panose1 w:val="02000603000000000000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Times New Roman,Bold">
    <w:panose1 w:val="02000603000000000000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1"/>
      <w:tabs>
        <w:tab w:val="clear" w:pos="4677" w:leader="none"/>
      </w:tabs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  <w:tabs>
          <w:tab w:val="num" w:pos="786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  <w:tabs>
          <w:tab w:val="num" w:pos="1506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  <w:tabs>
          <w:tab w:val="num" w:pos="2226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  <w:tabs>
          <w:tab w:val="num" w:pos="2946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  <w:tabs>
          <w:tab w:val="num" w:pos="3666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  <w:tabs>
          <w:tab w:val="num" w:pos="4386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  <w:tabs>
          <w:tab w:val="num" w:pos="5106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  <w:tabs>
          <w:tab w:val="num" w:pos="5826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  <w:tabs>
          <w:tab w:val="num" w:pos="6546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"/>
      <w:lvlJc w:val="left"/>
      <w:pPr>
        <w:ind w:left="360" w:hanging="360"/>
        <w:tabs>
          <w:tab w:val="num" w:pos="-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/>
        <w:b w:val="0"/>
        <w:i w:val="0"/>
        <w:smallCaps w:val="0"/>
        <w:strike w:val="0"/>
        <w:color w:val="000000"/>
        <w:spacing w:val="0"/>
        <w:position w:val="0"/>
        <w:sz w:val="24"/>
        <w:u w:val="none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0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96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pStyle w:val="968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pStyle w:val="777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778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pStyle w:val="779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pStyle w:val="780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pStyle w:val="782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pStyle w:val="783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pStyle w:val="784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pStyle w:val="785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2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"/>
      <w:lvlJc w:val="left"/>
      <w:pPr>
        <w:ind w:left="360" w:hanging="360"/>
        <w:tabs>
          <w:tab w:val="num" w:pos="-360" w:leader="none"/>
        </w:tabs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65" w:hanging="765"/>
        <w:tabs>
          <w:tab w:val="num" w:pos="765" w:leader="none"/>
        </w:tabs>
      </w:pPr>
      <w:rPr>
        <w:rFonts w:hint="default" w:cs="Times New Roman"/>
      </w:rPr>
    </w:lvl>
    <w:lvl w:ilvl="1">
      <w:start w:val="5"/>
      <w:numFmt w:val="decimal"/>
      <w:isLgl w:val="false"/>
      <w:suff w:val="tab"/>
      <w:lvlText w:val="%1.%2."/>
      <w:lvlJc w:val="left"/>
      <w:pPr>
        <w:ind w:left="765" w:hanging="765"/>
        <w:tabs>
          <w:tab w:val="num" w:pos="765" w:leader="none"/>
        </w:tabs>
      </w:pPr>
      <w:rPr>
        <w:rFonts w:hint="default" w:cs="Times New Roman"/>
      </w:rPr>
    </w:lvl>
    <w:lvl w:ilvl="2">
      <w:start w:val="12"/>
      <w:numFmt w:val="decimal"/>
      <w:isLgl w:val="false"/>
      <w:suff w:val="tab"/>
      <w:lvlText w:val="%1.%2.%3."/>
      <w:lvlJc w:val="left"/>
      <w:pPr>
        <w:ind w:left="765" w:hanging="765"/>
        <w:tabs>
          <w:tab w:val="num" w:pos="765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  <w:rPr>
        <w:rFonts w:hint="default" w:cs="Times New Roman"/>
      </w:r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253" w:hanging="360"/>
        <w:tabs>
          <w:tab w:val="num" w:pos="1253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973" w:hanging="360"/>
        <w:tabs>
          <w:tab w:val="num" w:pos="197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693" w:hanging="360"/>
        <w:tabs>
          <w:tab w:val="num" w:pos="269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413" w:hanging="360"/>
        <w:tabs>
          <w:tab w:val="num" w:pos="341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133" w:hanging="360"/>
        <w:tabs>
          <w:tab w:val="num" w:pos="413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853" w:hanging="360"/>
        <w:tabs>
          <w:tab w:val="num" w:pos="485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573" w:hanging="360"/>
        <w:tabs>
          <w:tab w:val="num" w:pos="557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293" w:hanging="360"/>
        <w:tabs>
          <w:tab w:val="num" w:pos="6293" w:leader="none"/>
        </w:tabs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353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07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9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1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95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67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13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088" w:hanging="360"/>
        <w:tabs>
          <w:tab w:val="num" w:pos="2088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134" w:firstLine="567"/>
        <w:tabs>
          <w:tab w:val="num" w:pos="1701" w:leader="none"/>
        </w:tabs>
      </w:pPr>
      <w:rPr>
        <w:rFonts w:hint="default" w:ascii="Times New Roman" w:hAnsi="Times New Roman" w:eastAsia="Times New Roman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20" w:hanging="360"/>
        <w:tabs>
          <w:tab w:val="num" w:pos="28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40" w:hanging="360"/>
        <w:tabs>
          <w:tab w:val="num" w:pos="35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60" w:hanging="360"/>
        <w:tabs>
          <w:tab w:val="num" w:pos="42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80" w:hanging="360"/>
        <w:tabs>
          <w:tab w:val="num" w:pos="49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00" w:hanging="360"/>
        <w:tabs>
          <w:tab w:val="num" w:pos="57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20" w:hanging="360"/>
        <w:tabs>
          <w:tab w:val="num" w:pos="64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40" w:hanging="360"/>
        <w:tabs>
          <w:tab w:val="num" w:pos="7140" w:leader="none"/>
        </w:tabs>
      </w:pPr>
      <w:rPr>
        <w:rFonts w:hint="default" w:ascii="Wingdings" w:hAnsi="Wingdings"/>
      </w:rPr>
    </w:lvl>
  </w:abstractNum>
  <w:num w:numId="1">
    <w:abstractNumId w:val="17"/>
  </w:num>
  <w:num w:numId="2">
    <w:abstractNumId w:val="37"/>
  </w:num>
  <w:num w:numId="3">
    <w:abstractNumId w:val="16"/>
  </w:num>
  <w:num w:numId="4">
    <w:abstractNumId w:val="46"/>
  </w:num>
  <w:num w:numId="5">
    <w:abstractNumId w:val="0"/>
  </w:num>
  <w:num w:numId="6">
    <w:abstractNumId w:val="23"/>
  </w:num>
  <w:num w:numId="7">
    <w:abstractNumId w:val="2"/>
  </w:num>
  <w:num w:numId="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7"/>
  </w:num>
  <w:num w:numId="11">
    <w:abstractNumId w:val="45"/>
  </w:num>
  <w:num w:numId="12">
    <w:abstractNumId w:val="26"/>
  </w:num>
  <w:num w:numId="13">
    <w:abstractNumId w:val="39"/>
  </w:num>
  <w:num w:numId="14">
    <w:abstractNumId w:val="36"/>
  </w:num>
  <w:num w:numId="15">
    <w:abstractNumId w:val="38"/>
  </w:num>
  <w:num w:numId="16">
    <w:abstractNumId w:val="35"/>
  </w:num>
  <w:num w:numId="17">
    <w:abstractNumId w:val="18"/>
  </w:num>
  <w:num w:numId="18">
    <w:abstractNumId w:val="25"/>
  </w:num>
  <w:num w:numId="19">
    <w:abstractNumId w:val="5"/>
  </w:num>
  <w:num w:numId="20">
    <w:abstractNumId w:val="31"/>
  </w:num>
  <w:num w:numId="21">
    <w:abstractNumId w:val="7"/>
  </w:num>
  <w:num w:numId="22">
    <w:abstractNumId w:val="22"/>
  </w:num>
  <w:num w:numId="23">
    <w:abstractNumId w:val="6"/>
  </w:num>
  <w:num w:numId="24">
    <w:abstractNumId w:val="29"/>
  </w:num>
  <w:num w:numId="25">
    <w:abstractNumId w:val="27"/>
  </w:num>
  <w:num w:numId="26">
    <w:abstractNumId w:val="33"/>
  </w:num>
  <w:num w:numId="27">
    <w:abstractNumId w:val="40"/>
  </w:num>
  <w:num w:numId="28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2"/>
  </w:num>
  <w:num w:numId="31">
    <w:abstractNumId w:val="1"/>
  </w:num>
  <w:num w:numId="32">
    <w:abstractNumId w:val="42"/>
  </w:num>
  <w:num w:numId="33">
    <w:abstractNumId w:val="41"/>
  </w:num>
  <w:num w:numId="34">
    <w:abstractNumId w:val="11"/>
  </w:num>
  <w:num w:numId="35">
    <w:abstractNumId w:val="28"/>
  </w:num>
  <w:num w:numId="36">
    <w:abstractNumId w:val="21"/>
  </w:num>
  <w:num w:numId="37">
    <w:abstractNumId w:val="3"/>
  </w:num>
  <w:num w:numId="38">
    <w:abstractNumId w:val="32"/>
  </w:num>
  <w:num w:numId="39">
    <w:abstractNumId w:val="43"/>
  </w:num>
  <w:num w:numId="40">
    <w:abstractNumId w:val="20"/>
  </w:num>
  <w:num w:numId="41">
    <w:abstractNumId w:val="15"/>
  </w:num>
  <w:num w:numId="42">
    <w:abstractNumId w:val="10"/>
  </w:num>
  <w:num w:numId="43">
    <w:abstractNumId w:val="44"/>
  </w:num>
  <w:num w:numId="44">
    <w:abstractNumId w:val="24"/>
  </w:num>
  <w:num w:numId="45">
    <w:abstractNumId w:val="8"/>
  </w:num>
  <w:num w:numId="46">
    <w:abstractNumId w:val="13"/>
  </w:num>
  <w:num w:numId="47">
    <w:abstractNumId w:val="34"/>
  </w:num>
  <w:num w:numId="48">
    <w:abstractNumId w:val="30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9">
    <w:name w:val="Heading 5 Char"/>
    <w:basedOn w:val="786"/>
    <w:link w:val="78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70">
    <w:name w:val="Title Char"/>
    <w:basedOn w:val="786"/>
    <w:link w:val="798"/>
    <w:uiPriority w:val="10"/>
    <w:rPr>
      <w:sz w:val="48"/>
      <w:szCs w:val="48"/>
    </w:rPr>
  </w:style>
  <w:style w:type="character" w:styleId="771">
    <w:name w:val="Subtitle Char"/>
    <w:basedOn w:val="786"/>
    <w:link w:val="800"/>
    <w:uiPriority w:val="11"/>
    <w:rPr>
      <w:sz w:val="24"/>
      <w:szCs w:val="24"/>
    </w:rPr>
  </w:style>
  <w:style w:type="character" w:styleId="772">
    <w:name w:val="Quote Char"/>
    <w:link w:val="802"/>
    <w:uiPriority w:val="29"/>
    <w:rPr>
      <w:i/>
    </w:rPr>
  </w:style>
  <w:style w:type="character" w:styleId="773">
    <w:name w:val="Intense Quote Char"/>
    <w:link w:val="804"/>
    <w:uiPriority w:val="30"/>
    <w:rPr>
      <w:i/>
    </w:rPr>
  </w:style>
  <w:style w:type="character" w:styleId="774">
    <w:name w:val="Footnote Text Char"/>
    <w:link w:val="935"/>
    <w:uiPriority w:val="99"/>
    <w:rPr>
      <w:sz w:val="18"/>
    </w:rPr>
  </w:style>
  <w:style w:type="character" w:styleId="775">
    <w:name w:val="Endnote Text Char"/>
    <w:link w:val="938"/>
    <w:uiPriority w:val="99"/>
    <w:rPr>
      <w:sz w:val="20"/>
    </w:rPr>
  </w:style>
  <w:style w:type="paragraph" w:styleId="776" w:default="1">
    <w:name w:val="Normal"/>
    <w:qFormat/>
    <w:rPr>
      <w:rFonts w:ascii="Times New Roman" w:hAnsi="Times New Roman" w:eastAsia="Times New Roman"/>
      <w:sz w:val="24"/>
      <w:szCs w:val="24"/>
    </w:rPr>
  </w:style>
  <w:style w:type="paragraph" w:styleId="777">
    <w:name w:val="Heading 1"/>
    <w:basedOn w:val="776"/>
    <w:next w:val="776"/>
    <w:link w:val="952"/>
    <w:qFormat/>
    <w:pPr>
      <w:numPr>
        <w:ilvl w:val="0"/>
        <w:numId w:val="1"/>
      </w:numPr>
      <w:keepNext/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778">
    <w:name w:val="Heading 2"/>
    <w:basedOn w:val="776"/>
    <w:next w:val="776"/>
    <w:link w:val="953"/>
    <w:qFormat/>
    <w:pPr>
      <w:numPr>
        <w:ilvl w:val="1"/>
        <w:numId w:val="1"/>
      </w:num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779">
    <w:name w:val="Heading 3"/>
    <w:basedOn w:val="776"/>
    <w:next w:val="776"/>
    <w:link w:val="954"/>
    <w:qFormat/>
    <w:pPr>
      <w:numPr>
        <w:ilvl w:val="2"/>
        <w:numId w:val="1"/>
      </w:num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780">
    <w:name w:val="Heading 4"/>
    <w:basedOn w:val="776"/>
    <w:next w:val="776"/>
    <w:link w:val="955"/>
    <w:qFormat/>
    <w:pPr>
      <w:numPr>
        <w:ilvl w:val="3"/>
        <w:numId w:val="1"/>
      </w:numPr>
      <w:keepNext/>
      <w:spacing w:before="240" w:after="60"/>
      <w:outlineLvl w:val="3"/>
    </w:pPr>
    <w:rPr>
      <w:b/>
      <w:bCs/>
      <w:sz w:val="28"/>
      <w:szCs w:val="28"/>
    </w:rPr>
  </w:style>
  <w:style w:type="paragraph" w:styleId="781">
    <w:name w:val="Heading 5"/>
    <w:basedOn w:val="776"/>
    <w:next w:val="776"/>
    <w:link w:val="7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82">
    <w:name w:val="Heading 6"/>
    <w:basedOn w:val="776"/>
    <w:next w:val="776"/>
    <w:link w:val="956"/>
    <w:qFormat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</w:rPr>
  </w:style>
  <w:style w:type="paragraph" w:styleId="783">
    <w:name w:val="Heading 7"/>
    <w:basedOn w:val="776"/>
    <w:next w:val="776"/>
    <w:link w:val="957"/>
    <w:qFormat/>
    <w:pPr>
      <w:numPr>
        <w:ilvl w:val="6"/>
        <w:numId w:val="1"/>
      </w:numPr>
      <w:jc w:val="center"/>
      <w:keepNext/>
      <w:outlineLvl w:val="6"/>
    </w:pPr>
    <w:rPr>
      <w:rFonts w:ascii="FreeSetCTT" w:hAnsi="FreeSetCTT"/>
      <w:b/>
      <w:bCs/>
    </w:rPr>
  </w:style>
  <w:style w:type="paragraph" w:styleId="784">
    <w:name w:val="Heading 8"/>
    <w:basedOn w:val="776"/>
    <w:next w:val="776"/>
    <w:link w:val="958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785">
    <w:name w:val="Heading 9"/>
    <w:basedOn w:val="776"/>
    <w:next w:val="776"/>
    <w:link w:val="959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0"/>
      <w:szCs w:val="20"/>
    </w:rPr>
  </w:style>
  <w:style w:type="character" w:styleId="786" w:default="1">
    <w:name w:val="Default Paragraph Font"/>
    <w:uiPriority w:val="1"/>
    <w:semiHidden/>
    <w:unhideWhenUsed/>
  </w:style>
  <w:style w:type="table" w:styleId="78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8" w:default="1">
    <w:name w:val="No List"/>
    <w:uiPriority w:val="99"/>
    <w:semiHidden/>
    <w:unhideWhenUsed/>
  </w:style>
  <w:style w:type="character" w:styleId="789" w:customStyle="1">
    <w:name w:val="Heading 1 Char"/>
    <w:basedOn w:val="786"/>
    <w:uiPriority w:val="9"/>
    <w:rPr>
      <w:rFonts w:ascii="Arial" w:hAnsi="Arial" w:eastAsia="Arial" w:cs="Arial"/>
      <w:sz w:val="40"/>
      <w:szCs w:val="40"/>
    </w:rPr>
  </w:style>
  <w:style w:type="character" w:styleId="790" w:customStyle="1">
    <w:name w:val="Heading 2 Char"/>
    <w:basedOn w:val="786"/>
    <w:uiPriority w:val="9"/>
    <w:rPr>
      <w:rFonts w:ascii="Arial" w:hAnsi="Arial" w:eastAsia="Arial" w:cs="Arial"/>
      <w:sz w:val="34"/>
    </w:rPr>
  </w:style>
  <w:style w:type="character" w:styleId="791" w:customStyle="1">
    <w:name w:val="Heading 3 Char"/>
    <w:basedOn w:val="786"/>
    <w:uiPriority w:val="9"/>
    <w:rPr>
      <w:rFonts w:ascii="Arial" w:hAnsi="Arial" w:eastAsia="Arial" w:cs="Arial"/>
      <w:sz w:val="30"/>
      <w:szCs w:val="30"/>
    </w:rPr>
  </w:style>
  <w:style w:type="character" w:styleId="792" w:customStyle="1">
    <w:name w:val="Heading 4 Char"/>
    <w:basedOn w:val="786"/>
    <w:uiPriority w:val="9"/>
    <w:rPr>
      <w:rFonts w:ascii="Arial" w:hAnsi="Arial" w:eastAsia="Arial" w:cs="Arial"/>
      <w:b/>
      <w:bCs/>
      <w:sz w:val="26"/>
      <w:szCs w:val="26"/>
    </w:rPr>
  </w:style>
  <w:style w:type="character" w:styleId="793" w:customStyle="1">
    <w:name w:val="Заголовок 5 Знак"/>
    <w:basedOn w:val="786"/>
    <w:link w:val="781"/>
    <w:uiPriority w:val="9"/>
    <w:rPr>
      <w:rFonts w:ascii="Arial" w:hAnsi="Arial" w:eastAsia="Arial" w:cs="Arial"/>
      <w:b/>
      <w:bCs/>
      <w:sz w:val="24"/>
      <w:szCs w:val="24"/>
    </w:rPr>
  </w:style>
  <w:style w:type="character" w:styleId="794" w:customStyle="1">
    <w:name w:val="Heading 6 Char"/>
    <w:basedOn w:val="786"/>
    <w:uiPriority w:val="9"/>
    <w:rPr>
      <w:rFonts w:ascii="Arial" w:hAnsi="Arial" w:eastAsia="Arial" w:cs="Arial"/>
      <w:b/>
      <w:bCs/>
      <w:sz w:val="22"/>
      <w:szCs w:val="22"/>
    </w:rPr>
  </w:style>
  <w:style w:type="character" w:styleId="795" w:customStyle="1">
    <w:name w:val="Heading 7 Char"/>
    <w:basedOn w:val="7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6" w:customStyle="1">
    <w:name w:val="Heading 8 Char"/>
    <w:basedOn w:val="786"/>
    <w:uiPriority w:val="9"/>
    <w:rPr>
      <w:rFonts w:ascii="Arial" w:hAnsi="Arial" w:eastAsia="Arial" w:cs="Arial"/>
      <w:i/>
      <w:iCs/>
      <w:sz w:val="22"/>
      <w:szCs w:val="22"/>
    </w:rPr>
  </w:style>
  <w:style w:type="character" w:styleId="797" w:customStyle="1">
    <w:name w:val="Heading 9 Char"/>
    <w:basedOn w:val="786"/>
    <w:uiPriority w:val="9"/>
    <w:rPr>
      <w:rFonts w:ascii="Arial" w:hAnsi="Arial" w:eastAsia="Arial" w:cs="Arial"/>
      <w:i/>
      <w:iCs/>
      <w:sz w:val="21"/>
      <w:szCs w:val="21"/>
    </w:rPr>
  </w:style>
  <w:style w:type="paragraph" w:styleId="798">
    <w:name w:val="Title"/>
    <w:basedOn w:val="776"/>
    <w:next w:val="776"/>
    <w:link w:val="79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9" w:customStyle="1">
    <w:name w:val="Название Знак"/>
    <w:basedOn w:val="786"/>
    <w:link w:val="798"/>
    <w:uiPriority w:val="10"/>
    <w:rPr>
      <w:sz w:val="48"/>
      <w:szCs w:val="48"/>
    </w:rPr>
  </w:style>
  <w:style w:type="paragraph" w:styleId="800">
    <w:name w:val="Subtitle"/>
    <w:basedOn w:val="776"/>
    <w:next w:val="776"/>
    <w:link w:val="801"/>
    <w:uiPriority w:val="11"/>
    <w:qFormat/>
    <w:pPr>
      <w:spacing w:before="200" w:after="200"/>
    </w:pPr>
  </w:style>
  <w:style w:type="character" w:styleId="801" w:customStyle="1">
    <w:name w:val="Подзаголовок Знак"/>
    <w:basedOn w:val="786"/>
    <w:link w:val="800"/>
    <w:uiPriority w:val="11"/>
    <w:rPr>
      <w:sz w:val="24"/>
      <w:szCs w:val="24"/>
    </w:rPr>
  </w:style>
  <w:style w:type="paragraph" w:styleId="802">
    <w:name w:val="Quote"/>
    <w:basedOn w:val="776"/>
    <w:next w:val="776"/>
    <w:link w:val="803"/>
    <w:uiPriority w:val="29"/>
    <w:qFormat/>
    <w:pPr>
      <w:ind w:left="720" w:right="720"/>
    </w:pPr>
    <w:rPr>
      <w:i/>
    </w:rPr>
  </w:style>
  <w:style w:type="character" w:styleId="803" w:customStyle="1">
    <w:name w:val="Цитата 2 Знак"/>
    <w:link w:val="802"/>
    <w:uiPriority w:val="29"/>
    <w:rPr>
      <w:i/>
    </w:rPr>
  </w:style>
  <w:style w:type="paragraph" w:styleId="804">
    <w:name w:val="Intense Quote"/>
    <w:basedOn w:val="776"/>
    <w:next w:val="776"/>
    <w:link w:val="80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5" w:customStyle="1">
    <w:name w:val="Выделенная цитата Знак"/>
    <w:link w:val="804"/>
    <w:uiPriority w:val="30"/>
    <w:rPr>
      <w:i/>
    </w:rPr>
  </w:style>
  <w:style w:type="character" w:styleId="806" w:customStyle="1">
    <w:name w:val="Header Char"/>
    <w:basedOn w:val="786"/>
    <w:uiPriority w:val="99"/>
  </w:style>
  <w:style w:type="character" w:styleId="807" w:customStyle="1">
    <w:name w:val="Footer Char"/>
    <w:basedOn w:val="786"/>
    <w:uiPriority w:val="99"/>
  </w:style>
  <w:style w:type="paragraph" w:styleId="808">
    <w:name w:val="Caption"/>
    <w:basedOn w:val="776"/>
    <w:next w:val="776"/>
    <w:link w:val="80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809" w:customStyle="1">
    <w:name w:val="Caption Char"/>
    <w:uiPriority w:val="99"/>
  </w:style>
  <w:style w:type="table" w:styleId="810" w:customStyle="1">
    <w:name w:val="Table Grid Light"/>
    <w:basedOn w:val="78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1">
    <w:name w:val="Plain Table 1"/>
    <w:basedOn w:val="78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2">
    <w:name w:val="Plain Table 2"/>
    <w:basedOn w:val="78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3">
    <w:name w:val="Plain Table 3"/>
    <w:basedOn w:val="78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4">
    <w:name w:val="Plain Table 4"/>
    <w:basedOn w:val="78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Plain Table 5"/>
    <w:basedOn w:val="78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6">
    <w:name w:val="Grid Table 1 Light"/>
    <w:basedOn w:val="78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1"/>
    <w:basedOn w:val="787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Grid Table 1 Light - Accent 2"/>
    <w:basedOn w:val="78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Grid Table 1 Light - Accent 3"/>
    <w:basedOn w:val="78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Grid Table 1 Light - Accent 4"/>
    <w:basedOn w:val="78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Grid Table 1 Light - Accent 5"/>
    <w:basedOn w:val="787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Grid Table 1 Light - Accent 6"/>
    <w:basedOn w:val="78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2"/>
    <w:basedOn w:val="78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1"/>
    <w:basedOn w:val="787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2 - Accent 2"/>
    <w:basedOn w:val="78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2 - Accent 3"/>
    <w:basedOn w:val="78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2 - Accent 4"/>
    <w:basedOn w:val="78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5"/>
    <w:basedOn w:val="787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6"/>
    <w:basedOn w:val="78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"/>
    <w:basedOn w:val="78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1"/>
    <w:basedOn w:val="787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3 - Accent 2"/>
    <w:basedOn w:val="78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3 - Accent 3"/>
    <w:basedOn w:val="78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3 - Accent 4"/>
    <w:basedOn w:val="78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5"/>
    <w:basedOn w:val="787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6"/>
    <w:basedOn w:val="78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4"/>
    <w:basedOn w:val="78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8" w:customStyle="1">
    <w:name w:val="Grid Table 4 - Accent 1"/>
    <w:basedOn w:val="787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39" w:customStyle="1">
    <w:name w:val="Grid Table 4 - Accent 2"/>
    <w:basedOn w:val="787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40" w:customStyle="1">
    <w:name w:val="Grid Table 4 - Accent 3"/>
    <w:basedOn w:val="787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41" w:customStyle="1">
    <w:name w:val="Grid Table 4 - Accent 4"/>
    <w:basedOn w:val="787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42" w:customStyle="1">
    <w:name w:val="Grid Table 4 - Accent 5"/>
    <w:basedOn w:val="787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43" w:customStyle="1">
    <w:name w:val="Grid Table 4 - Accent 6"/>
    <w:basedOn w:val="787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44">
    <w:name w:val="Grid Table 5 Dark"/>
    <w:basedOn w:val="78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- Accent 1"/>
    <w:basedOn w:val="78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46" w:customStyle="1">
    <w:name w:val="Grid Table 5 Dark - Accent 2"/>
    <w:basedOn w:val="78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47" w:customStyle="1">
    <w:name w:val="Grid Table 5 Dark - Accent 3"/>
    <w:basedOn w:val="78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48" w:customStyle="1">
    <w:name w:val="Grid Table 5 Dark- Accent 4"/>
    <w:basedOn w:val="78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 - Accent 5"/>
    <w:basedOn w:val="78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 - Accent 6"/>
    <w:basedOn w:val="78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51">
    <w:name w:val="Grid Table 6 Colorful"/>
    <w:basedOn w:val="78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2" w:customStyle="1">
    <w:name w:val="Grid Table 6 Colorful - Accent 1"/>
    <w:basedOn w:val="787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53" w:customStyle="1">
    <w:name w:val="Grid Table 6 Colorful - Accent 2"/>
    <w:basedOn w:val="78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54" w:customStyle="1">
    <w:name w:val="Grid Table 6 Colorful - Accent 3"/>
    <w:basedOn w:val="787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55" w:customStyle="1">
    <w:name w:val="Grid Table 6 Colorful - Accent 4"/>
    <w:basedOn w:val="78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56" w:customStyle="1">
    <w:name w:val="Grid Table 6 Colorful - Accent 5"/>
    <w:basedOn w:val="787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57" w:customStyle="1">
    <w:name w:val="Grid Table 6 Colorful - Accent 6"/>
    <w:basedOn w:val="787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58">
    <w:name w:val="Grid Table 7 Colorful"/>
    <w:basedOn w:val="78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9" w:customStyle="1">
    <w:name w:val="Grid Table 7 Colorful - Accent 1"/>
    <w:basedOn w:val="787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0" w:customStyle="1">
    <w:name w:val="Grid Table 7 Colorful - Accent 2"/>
    <w:basedOn w:val="787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Grid Table 7 Colorful - Accent 3"/>
    <w:basedOn w:val="787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Grid Table 7 Colorful - Accent 4"/>
    <w:basedOn w:val="787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Grid Table 7 Colorful - Accent 5"/>
    <w:basedOn w:val="787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Grid Table 7 Colorful - Accent 6"/>
    <w:basedOn w:val="787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>
    <w:name w:val="List Table 1 Light"/>
    <w:basedOn w:val="78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1"/>
    <w:basedOn w:val="787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1 Light - Accent 2"/>
    <w:basedOn w:val="787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1 Light - Accent 3"/>
    <w:basedOn w:val="787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1 Light - Accent 4"/>
    <w:basedOn w:val="787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5"/>
    <w:basedOn w:val="787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6"/>
    <w:basedOn w:val="787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2"/>
    <w:basedOn w:val="78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1"/>
    <w:basedOn w:val="787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74" w:customStyle="1">
    <w:name w:val="List Table 2 - Accent 2"/>
    <w:basedOn w:val="787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75" w:customStyle="1">
    <w:name w:val="List Table 2 - Accent 3"/>
    <w:basedOn w:val="787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76" w:customStyle="1">
    <w:name w:val="List Table 2 - Accent 4"/>
    <w:basedOn w:val="787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77" w:customStyle="1">
    <w:name w:val="List Table 2 - Accent 5"/>
    <w:basedOn w:val="787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78" w:customStyle="1">
    <w:name w:val="List Table 2 - Accent 6"/>
    <w:basedOn w:val="787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79">
    <w:name w:val="List Table 3"/>
    <w:basedOn w:val="78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1"/>
    <w:basedOn w:val="787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3 - Accent 2"/>
    <w:basedOn w:val="78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3 - Accent 3"/>
    <w:basedOn w:val="787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3 - Accent 4"/>
    <w:basedOn w:val="78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3 - Accent 5"/>
    <w:basedOn w:val="787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3 - Accent 6"/>
    <w:basedOn w:val="787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"/>
    <w:basedOn w:val="78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1"/>
    <w:basedOn w:val="787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4 - Accent 2"/>
    <w:basedOn w:val="787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4 - Accent 3"/>
    <w:basedOn w:val="787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4 - Accent 4"/>
    <w:basedOn w:val="787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4 - Accent 5"/>
    <w:basedOn w:val="787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4 - Accent 6"/>
    <w:basedOn w:val="787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5 Dark"/>
    <w:basedOn w:val="78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1"/>
    <w:basedOn w:val="787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 w:customStyle="1">
    <w:name w:val="List Table 5 Dark - Accent 2"/>
    <w:basedOn w:val="787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6" w:customStyle="1">
    <w:name w:val="List Table 5 Dark - Accent 3"/>
    <w:basedOn w:val="787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7" w:customStyle="1">
    <w:name w:val="List Table 5 Dark - Accent 4"/>
    <w:basedOn w:val="787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8" w:customStyle="1">
    <w:name w:val="List Table 5 Dark - Accent 5"/>
    <w:basedOn w:val="787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9" w:customStyle="1">
    <w:name w:val="List Table 5 Dark - Accent 6"/>
    <w:basedOn w:val="787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>
    <w:name w:val="List Table 6 Colorful"/>
    <w:basedOn w:val="78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1" w:customStyle="1">
    <w:name w:val="List Table 6 Colorful - Accent 1"/>
    <w:basedOn w:val="787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02" w:customStyle="1">
    <w:name w:val="List Table 6 Colorful - Accent 2"/>
    <w:basedOn w:val="787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03" w:customStyle="1">
    <w:name w:val="List Table 6 Colorful - Accent 3"/>
    <w:basedOn w:val="787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04" w:customStyle="1">
    <w:name w:val="List Table 6 Colorful - Accent 4"/>
    <w:basedOn w:val="787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05" w:customStyle="1">
    <w:name w:val="List Table 6 Colorful - Accent 5"/>
    <w:basedOn w:val="787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06" w:customStyle="1">
    <w:name w:val="List Table 6 Colorful - Accent 6"/>
    <w:basedOn w:val="787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07">
    <w:name w:val="List Table 7 Colorful"/>
    <w:basedOn w:val="78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8" w:customStyle="1">
    <w:name w:val="List Table 7 Colorful - Accent 1"/>
    <w:basedOn w:val="787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9" w:customStyle="1">
    <w:name w:val="List Table 7 Colorful - Accent 2"/>
    <w:basedOn w:val="787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0" w:customStyle="1">
    <w:name w:val="List Table 7 Colorful - Accent 3"/>
    <w:basedOn w:val="787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1" w:customStyle="1">
    <w:name w:val="List Table 7 Colorful - Accent 4"/>
    <w:basedOn w:val="787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2" w:customStyle="1">
    <w:name w:val="List Table 7 Colorful - Accent 5"/>
    <w:basedOn w:val="787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3" w:customStyle="1">
    <w:name w:val="List Table 7 Colorful - Accent 6"/>
    <w:basedOn w:val="787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4" w:customStyle="1">
    <w:name w:val="Lined - Accent"/>
    <w:basedOn w:val="78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5" w:customStyle="1">
    <w:name w:val="Lined - Accent 1"/>
    <w:basedOn w:val="78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16" w:customStyle="1">
    <w:name w:val="Lined - Accent 2"/>
    <w:basedOn w:val="78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17" w:customStyle="1">
    <w:name w:val="Lined - Accent 3"/>
    <w:basedOn w:val="78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18" w:customStyle="1">
    <w:name w:val="Lined - Accent 4"/>
    <w:basedOn w:val="78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19" w:customStyle="1">
    <w:name w:val="Lined - Accent 5"/>
    <w:basedOn w:val="78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20" w:customStyle="1">
    <w:name w:val="Lined - Accent 6"/>
    <w:basedOn w:val="78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21" w:customStyle="1">
    <w:name w:val="Bordered &amp; Lined - Accent"/>
    <w:basedOn w:val="787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2" w:customStyle="1">
    <w:name w:val="Bordered &amp; Lined - Accent 1"/>
    <w:basedOn w:val="787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23" w:customStyle="1">
    <w:name w:val="Bordered &amp; Lined - Accent 2"/>
    <w:basedOn w:val="787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4" w:customStyle="1">
    <w:name w:val="Bordered &amp; Lined - Accent 3"/>
    <w:basedOn w:val="787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5" w:customStyle="1">
    <w:name w:val="Bordered &amp; Lined - Accent 4"/>
    <w:basedOn w:val="787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6" w:customStyle="1">
    <w:name w:val="Bordered &amp; Lined - Accent 5"/>
    <w:basedOn w:val="787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27" w:customStyle="1">
    <w:name w:val="Bordered &amp; Lined - Accent 6"/>
    <w:basedOn w:val="787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28" w:customStyle="1">
    <w:name w:val="Bordered"/>
    <w:basedOn w:val="78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9" w:customStyle="1">
    <w:name w:val="Bordered - Accent 1"/>
    <w:basedOn w:val="787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30" w:customStyle="1">
    <w:name w:val="Bordered - Accent 2"/>
    <w:basedOn w:val="78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31" w:customStyle="1">
    <w:name w:val="Bordered - Accent 3"/>
    <w:basedOn w:val="78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32" w:customStyle="1">
    <w:name w:val="Bordered - Accent 4"/>
    <w:basedOn w:val="78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33" w:customStyle="1">
    <w:name w:val="Bordered - Accent 5"/>
    <w:basedOn w:val="787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34" w:customStyle="1">
    <w:name w:val="Bordered - Accent 6"/>
    <w:basedOn w:val="78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35">
    <w:name w:val="footnote text"/>
    <w:basedOn w:val="776"/>
    <w:link w:val="936"/>
    <w:uiPriority w:val="99"/>
    <w:semiHidden/>
    <w:unhideWhenUsed/>
    <w:pPr>
      <w:spacing w:after="40"/>
    </w:pPr>
    <w:rPr>
      <w:sz w:val="18"/>
    </w:rPr>
  </w:style>
  <w:style w:type="character" w:styleId="936" w:customStyle="1">
    <w:name w:val="Текст сноски Знак"/>
    <w:link w:val="935"/>
    <w:uiPriority w:val="99"/>
    <w:rPr>
      <w:sz w:val="18"/>
    </w:rPr>
  </w:style>
  <w:style w:type="character" w:styleId="937">
    <w:name w:val="footnote reference"/>
    <w:basedOn w:val="786"/>
    <w:uiPriority w:val="99"/>
    <w:unhideWhenUsed/>
    <w:rPr>
      <w:vertAlign w:val="superscript"/>
    </w:rPr>
  </w:style>
  <w:style w:type="paragraph" w:styleId="938">
    <w:name w:val="endnote text"/>
    <w:basedOn w:val="776"/>
    <w:link w:val="939"/>
    <w:uiPriority w:val="99"/>
    <w:semiHidden/>
    <w:unhideWhenUsed/>
    <w:rPr>
      <w:sz w:val="20"/>
    </w:rPr>
  </w:style>
  <w:style w:type="character" w:styleId="939" w:customStyle="1">
    <w:name w:val="Текст концевой сноски Знак"/>
    <w:link w:val="938"/>
    <w:uiPriority w:val="99"/>
    <w:rPr>
      <w:sz w:val="20"/>
    </w:rPr>
  </w:style>
  <w:style w:type="character" w:styleId="940">
    <w:name w:val="endnote reference"/>
    <w:basedOn w:val="786"/>
    <w:uiPriority w:val="99"/>
    <w:semiHidden/>
    <w:unhideWhenUsed/>
    <w:rPr>
      <w:vertAlign w:val="superscript"/>
    </w:rPr>
  </w:style>
  <w:style w:type="paragraph" w:styleId="941">
    <w:name w:val="toc 1"/>
    <w:basedOn w:val="776"/>
    <w:next w:val="776"/>
    <w:uiPriority w:val="39"/>
    <w:unhideWhenUsed/>
    <w:pPr>
      <w:spacing w:after="57"/>
    </w:pPr>
  </w:style>
  <w:style w:type="paragraph" w:styleId="942">
    <w:name w:val="toc 2"/>
    <w:basedOn w:val="776"/>
    <w:next w:val="776"/>
    <w:uiPriority w:val="39"/>
    <w:unhideWhenUsed/>
    <w:pPr>
      <w:ind w:left="283"/>
      <w:spacing w:after="57"/>
    </w:pPr>
  </w:style>
  <w:style w:type="paragraph" w:styleId="943">
    <w:name w:val="toc 3"/>
    <w:basedOn w:val="776"/>
    <w:next w:val="776"/>
    <w:uiPriority w:val="39"/>
    <w:unhideWhenUsed/>
    <w:pPr>
      <w:ind w:left="567"/>
      <w:spacing w:after="57"/>
    </w:pPr>
  </w:style>
  <w:style w:type="paragraph" w:styleId="944">
    <w:name w:val="toc 4"/>
    <w:basedOn w:val="776"/>
    <w:next w:val="776"/>
    <w:uiPriority w:val="39"/>
    <w:unhideWhenUsed/>
    <w:pPr>
      <w:ind w:left="850"/>
      <w:spacing w:after="57"/>
    </w:pPr>
  </w:style>
  <w:style w:type="paragraph" w:styleId="945">
    <w:name w:val="toc 5"/>
    <w:basedOn w:val="776"/>
    <w:next w:val="776"/>
    <w:uiPriority w:val="39"/>
    <w:unhideWhenUsed/>
    <w:pPr>
      <w:ind w:left="1134"/>
      <w:spacing w:after="57"/>
    </w:pPr>
  </w:style>
  <w:style w:type="paragraph" w:styleId="946">
    <w:name w:val="toc 6"/>
    <w:basedOn w:val="776"/>
    <w:next w:val="776"/>
    <w:uiPriority w:val="39"/>
    <w:unhideWhenUsed/>
    <w:pPr>
      <w:ind w:left="1417"/>
      <w:spacing w:after="57"/>
    </w:pPr>
  </w:style>
  <w:style w:type="paragraph" w:styleId="947">
    <w:name w:val="toc 7"/>
    <w:basedOn w:val="776"/>
    <w:next w:val="776"/>
    <w:uiPriority w:val="39"/>
    <w:unhideWhenUsed/>
    <w:pPr>
      <w:ind w:left="1701"/>
      <w:spacing w:after="57"/>
    </w:pPr>
  </w:style>
  <w:style w:type="paragraph" w:styleId="948">
    <w:name w:val="toc 8"/>
    <w:basedOn w:val="776"/>
    <w:next w:val="776"/>
    <w:uiPriority w:val="39"/>
    <w:unhideWhenUsed/>
    <w:pPr>
      <w:ind w:left="1984"/>
      <w:spacing w:after="57"/>
    </w:pPr>
  </w:style>
  <w:style w:type="paragraph" w:styleId="949">
    <w:name w:val="toc 9"/>
    <w:basedOn w:val="776"/>
    <w:next w:val="776"/>
    <w:uiPriority w:val="39"/>
    <w:unhideWhenUsed/>
    <w:pPr>
      <w:ind w:left="2268"/>
      <w:spacing w:after="57"/>
    </w:pPr>
  </w:style>
  <w:style w:type="paragraph" w:styleId="950">
    <w:name w:val="TOC Heading"/>
    <w:uiPriority w:val="39"/>
    <w:unhideWhenUsed/>
  </w:style>
  <w:style w:type="paragraph" w:styleId="951">
    <w:name w:val="table of figures"/>
    <w:basedOn w:val="776"/>
    <w:next w:val="776"/>
    <w:uiPriority w:val="99"/>
    <w:unhideWhenUsed/>
  </w:style>
  <w:style w:type="character" w:styleId="952" w:customStyle="1">
    <w:name w:val="Заголовок 1 Знак"/>
    <w:link w:val="777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953" w:customStyle="1">
    <w:name w:val="Заголовок 2 Знак"/>
    <w:link w:val="778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character" w:styleId="954" w:customStyle="1">
    <w:name w:val="Заголовок 3 Знак"/>
    <w:link w:val="779"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955" w:customStyle="1">
    <w:name w:val="Заголовок 4 Знак"/>
    <w:link w:val="780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956" w:customStyle="1">
    <w:name w:val="Заголовок 6 Знак"/>
    <w:link w:val="782"/>
    <w:rPr>
      <w:rFonts w:ascii="Times New Roman" w:hAnsi="Times New Roman" w:eastAsia="Times New Roman" w:cs="Times New Roman"/>
      <w:b/>
      <w:bCs/>
      <w:lang w:eastAsia="ru-RU"/>
    </w:rPr>
  </w:style>
  <w:style w:type="character" w:styleId="957" w:customStyle="1">
    <w:name w:val="Заголовок 7 Знак"/>
    <w:link w:val="783"/>
    <w:rPr>
      <w:rFonts w:ascii="FreeSetCTT" w:hAnsi="FreeSetCTT" w:eastAsia="Times New Roman" w:cs="Times New Roman"/>
      <w:b/>
      <w:bCs/>
      <w:sz w:val="24"/>
      <w:szCs w:val="24"/>
      <w:lang w:eastAsia="ru-RU"/>
    </w:rPr>
  </w:style>
  <w:style w:type="character" w:styleId="958" w:customStyle="1">
    <w:name w:val="Заголовок 8 Знак"/>
    <w:link w:val="784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character" w:styleId="959" w:customStyle="1">
    <w:name w:val="Заголовок 9 Знак"/>
    <w:link w:val="785"/>
    <w:uiPriority w:val="9"/>
    <w:rPr>
      <w:rFonts w:ascii="Arial" w:hAnsi="Arial" w:eastAsia="Times New Roman" w:cs="Arial"/>
      <w:lang w:eastAsia="ru-RU"/>
    </w:rPr>
  </w:style>
  <w:style w:type="paragraph" w:styleId="960">
    <w:name w:val="List Paragraph"/>
    <w:basedOn w:val="776"/>
    <w:link w:val="985"/>
    <w:uiPriority w:val="34"/>
    <w:qFormat/>
    <w:pPr>
      <w:contextualSpacing/>
      <w:ind w:left="720"/>
    </w:pPr>
  </w:style>
  <w:style w:type="paragraph" w:styleId="961">
    <w:name w:val="Header"/>
    <w:basedOn w:val="776"/>
    <w:link w:val="962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62" w:customStyle="1">
    <w:name w:val="Верхний колонтитул Знак"/>
    <w:link w:val="96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3">
    <w:name w:val="Footer"/>
    <w:basedOn w:val="776"/>
    <w:link w:val="964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64" w:customStyle="1">
    <w:name w:val="Нижний колонтитул Знак"/>
    <w:link w:val="963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5">
    <w:name w:val="Strong"/>
    <w:uiPriority w:val="22"/>
    <w:qFormat/>
    <w:rPr>
      <w:b/>
      <w:bCs/>
    </w:rPr>
  </w:style>
  <w:style w:type="paragraph" w:styleId="966">
    <w:name w:val="Body Text"/>
    <w:basedOn w:val="776"/>
    <w:link w:val="967"/>
    <w:semiHidden/>
    <w:rPr>
      <w:sz w:val="28"/>
    </w:rPr>
  </w:style>
  <w:style w:type="character" w:styleId="967" w:customStyle="1">
    <w:name w:val="Основной текст Знак"/>
    <w:link w:val="966"/>
    <w:semiHidden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968">
    <w:name w:val="List Bullet 2"/>
    <w:basedOn w:val="776"/>
    <w:uiPriority w:val="99"/>
    <w:pPr>
      <w:numPr>
        <w:ilvl w:val="0"/>
        <w:numId w:val="3"/>
      </w:numPr>
      <w:widowControl w:val="off"/>
    </w:pPr>
    <w:rPr>
      <w:rFonts w:ascii="Courier New" w:hAnsi="Courier New" w:cs="Courier New"/>
      <w:sz w:val="20"/>
      <w:szCs w:val="20"/>
    </w:rPr>
  </w:style>
  <w:style w:type="paragraph" w:styleId="969">
    <w:name w:val="Balloon Text"/>
    <w:basedOn w:val="776"/>
    <w:link w:val="970"/>
    <w:uiPriority w:val="99"/>
    <w:semiHidden/>
    <w:unhideWhenUsed/>
    <w:rPr>
      <w:rFonts w:ascii="Tahoma" w:hAnsi="Tahoma"/>
      <w:sz w:val="16"/>
      <w:szCs w:val="16"/>
    </w:rPr>
  </w:style>
  <w:style w:type="character" w:styleId="970" w:customStyle="1">
    <w:name w:val="Текст выноски Знак"/>
    <w:link w:val="969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971">
    <w:name w:val="annotation reference"/>
    <w:uiPriority w:val="99"/>
    <w:unhideWhenUsed/>
    <w:rPr>
      <w:sz w:val="16"/>
      <w:szCs w:val="16"/>
    </w:rPr>
  </w:style>
  <w:style w:type="paragraph" w:styleId="972">
    <w:name w:val="annotation text"/>
    <w:basedOn w:val="776"/>
    <w:link w:val="973"/>
    <w:uiPriority w:val="99"/>
    <w:unhideWhenUsed/>
    <w:qFormat/>
    <w:rPr>
      <w:sz w:val="20"/>
      <w:szCs w:val="20"/>
    </w:rPr>
  </w:style>
  <w:style w:type="character" w:styleId="973" w:customStyle="1">
    <w:name w:val="Текст примечания Знак"/>
    <w:link w:val="972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4">
    <w:name w:val="annotation subject"/>
    <w:basedOn w:val="972"/>
    <w:next w:val="972"/>
    <w:link w:val="975"/>
    <w:uiPriority w:val="99"/>
    <w:semiHidden/>
    <w:unhideWhenUsed/>
    <w:rPr>
      <w:b/>
      <w:bCs/>
    </w:rPr>
  </w:style>
  <w:style w:type="character" w:styleId="975" w:customStyle="1">
    <w:name w:val="Тема примечания Знак"/>
    <w:link w:val="974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76">
    <w:name w:val="No Spacing"/>
    <w:uiPriority w:val="1"/>
    <w:qFormat/>
    <w:rPr>
      <w:rFonts w:ascii="Times New Roman" w:hAnsi="Times New Roman" w:eastAsia="Times New Roman"/>
      <w:sz w:val="24"/>
      <w:szCs w:val="24"/>
    </w:rPr>
  </w:style>
  <w:style w:type="paragraph" w:styleId="977" w:customStyle="1">
    <w:name w:val=".FORMATTEXT"/>
    <w:pPr>
      <w:widowControl w:val="off"/>
    </w:pPr>
    <w:rPr>
      <w:rFonts w:ascii="Times New Roman" w:hAnsi="Times New Roman"/>
      <w:sz w:val="24"/>
      <w:szCs w:val="24"/>
    </w:rPr>
  </w:style>
  <w:style w:type="paragraph" w:styleId="978" w:customStyle="1">
    <w:name w:val="Абзац списка1"/>
    <w:basedOn w:val="776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79">
    <w:name w:val="Body Text Indent 3"/>
    <w:basedOn w:val="776"/>
    <w:link w:val="980"/>
    <w:pPr>
      <w:ind w:left="283"/>
      <w:spacing w:after="120"/>
    </w:pPr>
    <w:rPr>
      <w:rFonts w:eastAsia="Calibri"/>
      <w:sz w:val="16"/>
      <w:szCs w:val="16"/>
    </w:rPr>
  </w:style>
  <w:style w:type="character" w:styleId="980" w:customStyle="1">
    <w:name w:val="Основной текст с отступом 3 Знак"/>
    <w:link w:val="979"/>
    <w:rPr>
      <w:rFonts w:eastAsia="Calibri"/>
      <w:sz w:val="16"/>
      <w:szCs w:val="16"/>
      <w:lang w:val="ru-RU" w:eastAsia="ru-RU" w:bidi="ar-SA"/>
    </w:rPr>
  </w:style>
  <w:style w:type="character" w:styleId="981" w:customStyle="1">
    <w:name w:val="Основной текст Знак1"/>
    <w:rPr>
      <w:rFonts w:ascii="Arial" w:hAnsi="Arial" w:cs="Arial"/>
      <w:shd w:val="clear" w:color="auto" w:fill="ffffff"/>
    </w:rPr>
  </w:style>
  <w:style w:type="character" w:styleId="982" w:customStyle="1">
    <w:name w:val="Основной текст (2)_"/>
    <w:link w:val="983"/>
    <w:rPr>
      <w:shd w:val="clear" w:color="auto" w:fill="ffffff"/>
      <w:lang w:bidi="ar-SA"/>
    </w:rPr>
  </w:style>
  <w:style w:type="paragraph" w:styleId="983" w:customStyle="1">
    <w:name w:val="Основной текст (2)"/>
    <w:basedOn w:val="776"/>
    <w:link w:val="982"/>
    <w:pPr>
      <w:ind w:hanging="360"/>
      <w:spacing w:before="1320" w:after="960" w:line="278" w:lineRule="exact"/>
      <w:shd w:val="clear" w:color="auto" w:fill="ffffff"/>
      <w:widowControl w:val="off"/>
    </w:pPr>
    <w:rPr>
      <w:sz w:val="20"/>
      <w:szCs w:val="20"/>
      <w:shd w:val="clear" w:color="auto" w:fill="ffffff"/>
    </w:rPr>
  </w:style>
  <w:style w:type="character" w:styleId="984" w:customStyle="1">
    <w:name w:val="Основной текст (2) + Курсив"/>
    <w:rPr>
      <w:rFonts w:ascii="Times New Roman" w:hAnsi="Times New Roman" w:cs="Times New Roman"/>
      <w:i/>
      <w:iCs/>
      <w:color w:val="000000"/>
      <w:spacing w:val="0"/>
      <w:position w:val="0"/>
      <w:sz w:val="24"/>
      <w:szCs w:val="24"/>
      <w:u w:val="none"/>
      <w:shd w:val="clear" w:color="auto" w:fill="ffffff"/>
      <w:lang w:val="ru-RU" w:eastAsia="ru-RU" w:bidi="ar-SA"/>
    </w:rPr>
  </w:style>
  <w:style w:type="character" w:styleId="985" w:customStyle="1">
    <w:name w:val="Абзац списка Знак"/>
    <w:link w:val="960"/>
    <w:uiPriority w:val="34"/>
    <w:rPr>
      <w:rFonts w:ascii="Times New Roman" w:hAnsi="Times New Roman" w:eastAsia="Times New Roman"/>
      <w:sz w:val="24"/>
      <w:szCs w:val="24"/>
    </w:rPr>
  </w:style>
  <w:style w:type="character" w:styleId="986">
    <w:name w:val="Hyperlink"/>
    <w:basedOn w:val="786"/>
    <w:uiPriority w:val="99"/>
    <w:unhideWhenUsed/>
    <w:rPr>
      <w:color w:val="0563c1" w:themeColor="hyperlink"/>
      <w:u w:val="single"/>
    </w:rPr>
  </w:style>
  <w:style w:type="table" w:styleId="987">
    <w:name w:val="Table Grid"/>
    <w:basedOn w:val="787"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88" w:customStyle="1">
    <w:name w:val="Сетка таблицы1"/>
    <w:basedOn w:val="787"/>
    <w:next w:val="987"/>
    <w:uiPriority w:val="39"/>
    <w:rPr>
      <w:rFonts w:eastAsia="Times New Roman" w:asciiTheme="minorHAnsi" w:hAnsiTheme="minorHAnsi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bi-file.ru/archive/p067fgb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94E42-40CD-4F7C-9D28-70118EF43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Квширская ГРЭС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ktc-2-10</dc:creator>
  <cp:keywords/>
  <dc:description/>
  <cp:lastModifiedBy>ivanova_iv</cp:lastModifiedBy>
  <cp:revision>10</cp:revision>
  <dcterms:created xsi:type="dcterms:W3CDTF">2025-07-14T11:47:00Z</dcterms:created>
  <dcterms:modified xsi:type="dcterms:W3CDTF">2026-04-09T09:01:17Z</dcterms:modified>
</cp:coreProperties>
</file>